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EF44E" w14:textId="77777777" w:rsidR="005E7267" w:rsidRPr="00ED7E64" w:rsidRDefault="005E7267" w:rsidP="00A87B86">
      <w:pPr>
        <w:pStyle w:val="BPLLprrafo0"/>
        <w:spacing w:after="0"/>
        <w:jc w:val="center"/>
        <w:rPr>
          <w:rFonts w:asciiTheme="minorHAnsi" w:hAnsiTheme="minorHAnsi" w:cstheme="minorHAnsi"/>
          <w:b/>
          <w:bCs/>
          <w:szCs w:val="22"/>
        </w:rPr>
      </w:pPr>
    </w:p>
    <w:p w14:paraId="7BCCC11D" w14:textId="1B4693C0" w:rsidR="004D01A0" w:rsidRPr="00ED7E64" w:rsidRDefault="00BA14B6" w:rsidP="00A87B86">
      <w:pPr>
        <w:pStyle w:val="BPLLprrafo0"/>
        <w:spacing w:after="0"/>
        <w:jc w:val="center"/>
        <w:rPr>
          <w:rFonts w:asciiTheme="minorHAnsi" w:hAnsiTheme="minorHAnsi" w:cstheme="minorHAnsi"/>
          <w:b/>
          <w:bCs/>
          <w:szCs w:val="22"/>
        </w:rPr>
      </w:pPr>
      <w:r w:rsidRPr="00ED7E64">
        <w:rPr>
          <w:rFonts w:asciiTheme="minorHAnsi" w:hAnsiTheme="minorHAnsi" w:cstheme="minorHAnsi"/>
          <w:b/>
          <w:bCs/>
          <w:szCs w:val="22"/>
        </w:rPr>
        <w:t xml:space="preserve">COMENTARIOS </w:t>
      </w:r>
      <w:r w:rsidR="004D01A0" w:rsidRPr="00ED7E64">
        <w:rPr>
          <w:rFonts w:asciiTheme="minorHAnsi" w:hAnsiTheme="minorHAnsi" w:cstheme="minorHAnsi"/>
          <w:b/>
          <w:bCs/>
          <w:szCs w:val="22"/>
        </w:rPr>
        <w:t>A LA</w:t>
      </w:r>
      <w:r w:rsidRPr="00ED7E64">
        <w:rPr>
          <w:rFonts w:asciiTheme="minorHAnsi" w:hAnsiTheme="minorHAnsi" w:cstheme="minorHAnsi"/>
          <w:b/>
          <w:bCs/>
          <w:szCs w:val="22"/>
        </w:rPr>
        <w:t xml:space="preserve"> COMUNICACIÓN SOBRE CRITERIOS PARA LA DETERMINACIÓN DE LA PROHIBICIÓN DE CONTRATAR </w:t>
      </w:r>
    </w:p>
    <w:p w14:paraId="513D91CC" w14:textId="1A66FB8B" w:rsidR="00BA14B6" w:rsidRPr="00ED7E64" w:rsidRDefault="00BA14B6" w:rsidP="00A87B86">
      <w:pPr>
        <w:pStyle w:val="BPLLprrafo0"/>
        <w:spacing w:after="0"/>
        <w:jc w:val="center"/>
        <w:rPr>
          <w:rFonts w:asciiTheme="minorHAnsi" w:hAnsiTheme="minorHAnsi" w:cstheme="minorHAnsi"/>
          <w:b/>
          <w:bCs/>
          <w:szCs w:val="22"/>
        </w:rPr>
      </w:pPr>
      <w:r w:rsidRPr="00ED7E64">
        <w:rPr>
          <w:rFonts w:asciiTheme="minorHAnsi" w:hAnsiTheme="minorHAnsi" w:cstheme="minorHAnsi"/>
          <w:b/>
          <w:bCs/>
          <w:szCs w:val="22"/>
        </w:rPr>
        <w:t>POR FALSEAMIENTO DE LA COMPETENCIA POR LA CNMC</w:t>
      </w:r>
    </w:p>
    <w:p w14:paraId="0B7CE58D" w14:textId="77777777" w:rsidR="00BA14B6" w:rsidRPr="00ED7E64" w:rsidRDefault="00BA14B6" w:rsidP="00A87B86">
      <w:pPr>
        <w:pStyle w:val="BPLLprrafo0"/>
        <w:spacing w:after="0"/>
        <w:jc w:val="center"/>
        <w:rPr>
          <w:rFonts w:asciiTheme="minorHAnsi" w:hAnsiTheme="minorHAnsi" w:cstheme="minorHAnsi"/>
          <w:szCs w:val="22"/>
        </w:rPr>
      </w:pPr>
    </w:p>
    <w:p w14:paraId="61A4AB3C" w14:textId="7EDA3EEE" w:rsidR="00DB48E7" w:rsidRPr="00ED7E64" w:rsidRDefault="00BA14B6" w:rsidP="00A87B86">
      <w:pPr>
        <w:pStyle w:val="BPLLprrafo0"/>
        <w:numPr>
          <w:ilvl w:val="0"/>
          <w:numId w:val="45"/>
        </w:numPr>
        <w:rPr>
          <w:rFonts w:asciiTheme="minorHAnsi" w:hAnsiTheme="minorHAnsi" w:cstheme="minorHAnsi"/>
          <w:b/>
          <w:bCs/>
          <w:szCs w:val="22"/>
        </w:rPr>
      </w:pPr>
      <w:r w:rsidRPr="00ED7E64">
        <w:rPr>
          <w:rFonts w:asciiTheme="minorHAnsi" w:hAnsiTheme="minorHAnsi" w:cstheme="minorHAnsi"/>
          <w:b/>
          <w:bCs/>
          <w:szCs w:val="22"/>
        </w:rPr>
        <w:t>INTRODUCCIÓN</w:t>
      </w:r>
    </w:p>
    <w:p w14:paraId="2A55588C" w14:textId="3AEA942C" w:rsidR="004B2DFA" w:rsidRPr="00ED7E64" w:rsidRDefault="007D6339"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La Fundación</w:t>
      </w:r>
      <w:r w:rsidRPr="00ED7E64">
        <w:rPr>
          <w:rFonts w:asciiTheme="minorHAnsi" w:hAnsiTheme="minorHAnsi" w:cstheme="minorHAnsi"/>
          <w:b/>
          <w:bCs/>
          <w:szCs w:val="22"/>
        </w:rPr>
        <w:t xml:space="preserve"> </w:t>
      </w:r>
      <w:r w:rsidRPr="00ED7E64">
        <w:rPr>
          <w:rFonts w:asciiTheme="minorHAnsi" w:hAnsiTheme="minorHAnsi" w:cstheme="minorHAnsi"/>
          <w:szCs w:val="22"/>
        </w:rPr>
        <w:t>Centro de Estudios para el Fomento de la Investigación (“</w:t>
      </w:r>
      <w:r w:rsidRPr="00ED7E64">
        <w:rPr>
          <w:rFonts w:asciiTheme="minorHAnsi" w:hAnsiTheme="minorHAnsi" w:cstheme="minorHAnsi"/>
          <w:b/>
          <w:bCs/>
          <w:szCs w:val="22"/>
        </w:rPr>
        <w:t>CEFI</w:t>
      </w:r>
      <w:r w:rsidRPr="00ED7E64">
        <w:rPr>
          <w:rFonts w:asciiTheme="minorHAnsi" w:hAnsiTheme="minorHAnsi" w:cstheme="minorHAnsi"/>
          <w:szCs w:val="22"/>
        </w:rPr>
        <w:t>”)</w:t>
      </w:r>
      <w:r w:rsidR="00E27FAF" w:rsidRPr="00ED7E64">
        <w:rPr>
          <w:rFonts w:asciiTheme="minorHAnsi" w:hAnsiTheme="minorHAnsi" w:cstheme="minorHAnsi"/>
          <w:szCs w:val="22"/>
        </w:rPr>
        <w:t xml:space="preserve"> </w:t>
      </w:r>
      <w:r w:rsidRPr="00ED7E64">
        <w:rPr>
          <w:rFonts w:asciiTheme="minorHAnsi" w:hAnsiTheme="minorHAnsi" w:cstheme="minorHAnsi"/>
          <w:szCs w:val="22"/>
        </w:rPr>
        <w:t>agradece la oportunidad de presentar reflexiones y sugerencias respecto a la Comunicación sobre criterios para la determinación de la prohibición de contratar por falseamiento de la competencia por la CNMC (la “</w:t>
      </w:r>
      <w:r w:rsidRPr="00ED7E64">
        <w:rPr>
          <w:rFonts w:asciiTheme="minorHAnsi" w:hAnsiTheme="minorHAnsi" w:cstheme="minorHAnsi"/>
          <w:b/>
          <w:bCs/>
          <w:szCs w:val="22"/>
        </w:rPr>
        <w:t>Comunicación</w:t>
      </w:r>
      <w:r w:rsidRPr="00ED7E64">
        <w:rPr>
          <w:rFonts w:asciiTheme="minorHAnsi" w:hAnsiTheme="minorHAnsi" w:cstheme="minorHAnsi"/>
          <w:szCs w:val="22"/>
        </w:rPr>
        <w:t>”), sometida a trámite de información pública el día 23 de noviembre de 2022.</w:t>
      </w:r>
    </w:p>
    <w:p w14:paraId="76784492" w14:textId="5906B860" w:rsidR="00106F05" w:rsidRPr="00ED7E64" w:rsidRDefault="007D6339"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El propósito del presente escrito es aportar valor añadido a la iniciativa impulsada por la CNMC a fin de acotar los criterios que guiarán la actuación de la CNMC a la hora de fijar en las resoluciones sancionadoras que adopte la duración y el alcance de la prohibición de contratar prevista en el artículo 71.1 b) de la Ley 9/2017, de 8 de noviembre, de Contratos del Sector Público, por la que se transponen al ordenamiento jurídico español las Directivas del Parlamento Europeo y del Consejo 2014/23/UE y 2014/24/UE, de 26 de febrero de 2014 (“</w:t>
      </w:r>
      <w:r w:rsidRPr="00ED7E64">
        <w:rPr>
          <w:rFonts w:asciiTheme="minorHAnsi" w:hAnsiTheme="minorHAnsi" w:cstheme="minorHAnsi"/>
          <w:b/>
          <w:bCs/>
          <w:szCs w:val="22"/>
        </w:rPr>
        <w:t>LCSP</w:t>
      </w:r>
      <w:r w:rsidRPr="00ED7E64">
        <w:rPr>
          <w:rFonts w:asciiTheme="minorHAnsi" w:hAnsiTheme="minorHAnsi" w:cstheme="minorHAnsi"/>
          <w:szCs w:val="22"/>
        </w:rPr>
        <w:t xml:space="preserve">”). </w:t>
      </w:r>
    </w:p>
    <w:p w14:paraId="0895D2BE" w14:textId="08675C79" w:rsidR="00BA14B6" w:rsidRPr="00ED7E64" w:rsidRDefault="00106F05"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En este sentido, la fijación de los referidos criterios es una iniciativa conveniente y necesaria la cual, en la medida en que aporte valor y concrete cómo estos tendrán que ser aplicados por la autoridad de la competencia,</w:t>
      </w:r>
      <w:r w:rsidR="007D6339" w:rsidRPr="00ED7E64">
        <w:rPr>
          <w:rFonts w:asciiTheme="minorHAnsi" w:hAnsiTheme="minorHAnsi" w:cstheme="minorHAnsi"/>
          <w:szCs w:val="22"/>
        </w:rPr>
        <w:t xml:space="preserve"> </w:t>
      </w:r>
      <w:r w:rsidR="00B90718" w:rsidRPr="00ED7E64">
        <w:rPr>
          <w:rFonts w:asciiTheme="minorHAnsi" w:hAnsiTheme="minorHAnsi" w:cstheme="minorHAnsi"/>
          <w:szCs w:val="22"/>
        </w:rPr>
        <w:t>redundará en una mayor seguridad jurídica</w:t>
      </w:r>
      <w:r w:rsidRPr="00ED7E64">
        <w:rPr>
          <w:rFonts w:asciiTheme="minorHAnsi" w:hAnsiTheme="minorHAnsi" w:cstheme="minorHAnsi"/>
          <w:szCs w:val="22"/>
        </w:rPr>
        <w:t xml:space="preserve"> para todos los operadores económicos</w:t>
      </w:r>
      <w:r w:rsidR="00B90718" w:rsidRPr="00ED7E64">
        <w:rPr>
          <w:rFonts w:asciiTheme="minorHAnsi" w:hAnsiTheme="minorHAnsi" w:cstheme="minorHAnsi"/>
          <w:szCs w:val="22"/>
        </w:rPr>
        <w:t>.</w:t>
      </w:r>
    </w:p>
    <w:p w14:paraId="42A47345" w14:textId="77777777" w:rsidR="00B525D4" w:rsidRPr="00ED7E64" w:rsidRDefault="00106F05"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No obstante, </w:t>
      </w:r>
      <w:r w:rsidR="00C74550" w:rsidRPr="00ED7E64">
        <w:rPr>
          <w:rFonts w:asciiTheme="minorHAnsi" w:hAnsiTheme="minorHAnsi" w:cstheme="minorHAnsi"/>
          <w:szCs w:val="22"/>
        </w:rPr>
        <w:t>en el presente escrito se proveen</w:t>
      </w:r>
      <w:r w:rsidR="00210F9E" w:rsidRPr="00ED7E64">
        <w:rPr>
          <w:rFonts w:asciiTheme="minorHAnsi" w:hAnsiTheme="minorHAnsi" w:cstheme="minorHAnsi"/>
          <w:szCs w:val="22"/>
        </w:rPr>
        <w:t xml:space="preserve"> sugerencias y</w:t>
      </w:r>
      <w:r w:rsidR="00C74550" w:rsidRPr="00ED7E64">
        <w:rPr>
          <w:rFonts w:asciiTheme="minorHAnsi" w:hAnsiTheme="minorHAnsi" w:cstheme="minorHAnsi"/>
          <w:szCs w:val="22"/>
        </w:rPr>
        <w:t xml:space="preserve"> se indican</w:t>
      </w:r>
      <w:r w:rsidR="00210F9E" w:rsidRPr="00ED7E64">
        <w:rPr>
          <w:rFonts w:asciiTheme="minorHAnsi" w:hAnsiTheme="minorHAnsi" w:cstheme="minorHAnsi"/>
          <w:szCs w:val="22"/>
        </w:rPr>
        <w:t xml:space="preserve"> determinados aspectos de la Comunicación</w:t>
      </w:r>
      <w:r w:rsidR="00C74550" w:rsidRPr="00ED7E64">
        <w:rPr>
          <w:rFonts w:asciiTheme="minorHAnsi" w:hAnsiTheme="minorHAnsi" w:cstheme="minorHAnsi"/>
          <w:szCs w:val="22"/>
        </w:rPr>
        <w:t xml:space="preserve"> que consideramos que</w:t>
      </w:r>
      <w:r w:rsidR="00210F9E" w:rsidRPr="00ED7E64">
        <w:rPr>
          <w:rFonts w:asciiTheme="minorHAnsi" w:hAnsiTheme="minorHAnsi" w:cstheme="minorHAnsi"/>
          <w:szCs w:val="22"/>
        </w:rPr>
        <w:t xml:space="preserve"> merecen </w:t>
      </w:r>
      <w:r w:rsidR="00610B72" w:rsidRPr="00ED7E64">
        <w:rPr>
          <w:rFonts w:asciiTheme="minorHAnsi" w:hAnsiTheme="minorHAnsi" w:cstheme="minorHAnsi"/>
          <w:szCs w:val="22"/>
        </w:rPr>
        <w:t xml:space="preserve">o bien </w:t>
      </w:r>
      <w:r w:rsidR="00E76C9F" w:rsidRPr="00ED7E64">
        <w:rPr>
          <w:rFonts w:asciiTheme="minorHAnsi" w:hAnsiTheme="minorHAnsi" w:cstheme="minorHAnsi"/>
          <w:szCs w:val="22"/>
        </w:rPr>
        <w:t>matizaciones</w:t>
      </w:r>
      <w:r w:rsidR="00610B72" w:rsidRPr="00ED7E64">
        <w:rPr>
          <w:rFonts w:asciiTheme="minorHAnsi" w:hAnsiTheme="minorHAnsi" w:cstheme="minorHAnsi"/>
          <w:szCs w:val="22"/>
        </w:rPr>
        <w:t>,</w:t>
      </w:r>
      <w:r w:rsidR="00210F9E" w:rsidRPr="00ED7E64">
        <w:rPr>
          <w:rFonts w:asciiTheme="minorHAnsi" w:hAnsiTheme="minorHAnsi" w:cstheme="minorHAnsi"/>
          <w:szCs w:val="22"/>
        </w:rPr>
        <w:t xml:space="preserve"> o </w:t>
      </w:r>
      <w:r w:rsidR="00610B72" w:rsidRPr="00ED7E64">
        <w:rPr>
          <w:rFonts w:asciiTheme="minorHAnsi" w:hAnsiTheme="minorHAnsi" w:cstheme="minorHAnsi"/>
          <w:szCs w:val="22"/>
        </w:rPr>
        <w:t>bien un mayor desarrollo</w:t>
      </w:r>
      <w:r w:rsidR="00FE356B" w:rsidRPr="00ED7E64">
        <w:rPr>
          <w:rFonts w:asciiTheme="minorHAnsi" w:hAnsiTheme="minorHAnsi" w:cstheme="minorHAnsi"/>
          <w:szCs w:val="22"/>
        </w:rPr>
        <w:t>.</w:t>
      </w:r>
    </w:p>
    <w:p w14:paraId="4A7486C5" w14:textId="3AEF9BC7" w:rsidR="00B525D4" w:rsidRPr="00ED7E64" w:rsidRDefault="00866554" w:rsidP="00B525D4">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Sin embargo, ante todo</w:t>
      </w:r>
      <w:r w:rsidR="00B525D4" w:rsidRPr="00ED7E64">
        <w:rPr>
          <w:rFonts w:asciiTheme="minorHAnsi" w:hAnsiTheme="minorHAnsi" w:cstheme="minorHAnsi"/>
          <w:szCs w:val="22"/>
        </w:rPr>
        <w:t xml:space="preserve">, </w:t>
      </w:r>
      <w:r w:rsidRPr="00ED7E64">
        <w:rPr>
          <w:rFonts w:asciiTheme="minorHAnsi" w:hAnsiTheme="minorHAnsi" w:cstheme="minorHAnsi"/>
          <w:szCs w:val="22"/>
        </w:rPr>
        <w:t xml:space="preserve">no consideramos adecuada </w:t>
      </w:r>
      <w:r w:rsidR="00500951" w:rsidRPr="00ED7E64">
        <w:rPr>
          <w:rFonts w:asciiTheme="minorHAnsi" w:hAnsiTheme="minorHAnsi" w:cstheme="minorHAnsi"/>
          <w:szCs w:val="22"/>
        </w:rPr>
        <w:t>la regulación de una cuestión tan crítica para las empresas</w:t>
      </w:r>
      <w:r w:rsidRPr="00ED7E64">
        <w:rPr>
          <w:rFonts w:asciiTheme="minorHAnsi" w:hAnsiTheme="minorHAnsi" w:cstheme="minorHAnsi"/>
          <w:szCs w:val="22"/>
        </w:rPr>
        <w:t xml:space="preserve"> como es la prohibición de contratar</w:t>
      </w:r>
      <w:r w:rsidR="00500951" w:rsidRPr="00ED7E64">
        <w:rPr>
          <w:rFonts w:asciiTheme="minorHAnsi" w:hAnsiTheme="minorHAnsi" w:cstheme="minorHAnsi"/>
          <w:szCs w:val="22"/>
        </w:rPr>
        <w:t xml:space="preserve"> mediante una </w:t>
      </w:r>
      <w:r w:rsidR="00B234A6" w:rsidRPr="00ED7E64">
        <w:rPr>
          <w:rFonts w:asciiTheme="minorHAnsi" w:hAnsiTheme="minorHAnsi" w:cstheme="minorHAnsi"/>
          <w:szCs w:val="22"/>
        </w:rPr>
        <w:t xml:space="preserve">mera </w:t>
      </w:r>
      <w:r w:rsidR="00500951" w:rsidRPr="00ED7E64">
        <w:rPr>
          <w:rFonts w:asciiTheme="minorHAnsi" w:hAnsiTheme="minorHAnsi" w:cstheme="minorHAnsi"/>
          <w:szCs w:val="22"/>
        </w:rPr>
        <w:t xml:space="preserve">comunicación por parte de la CNMC, sin que esta </w:t>
      </w:r>
      <w:r w:rsidR="00B234A6" w:rsidRPr="00ED7E64">
        <w:rPr>
          <w:rFonts w:asciiTheme="minorHAnsi" w:hAnsiTheme="minorHAnsi" w:cstheme="minorHAnsi"/>
          <w:szCs w:val="22"/>
        </w:rPr>
        <w:t xml:space="preserve">haya sido objeto de </w:t>
      </w:r>
      <w:r w:rsidR="00B234A6" w:rsidRPr="00ED7E64">
        <w:rPr>
          <w:rFonts w:asciiTheme="minorHAnsi" w:hAnsiTheme="minorHAnsi" w:cstheme="minorHAnsi"/>
          <w:b/>
          <w:bCs/>
          <w:szCs w:val="22"/>
        </w:rPr>
        <w:t>regulación reglamentaria</w:t>
      </w:r>
      <w:r w:rsidR="00B234A6" w:rsidRPr="00ED7E64">
        <w:rPr>
          <w:rFonts w:asciiTheme="minorHAnsi" w:hAnsiTheme="minorHAnsi" w:cstheme="minorHAnsi"/>
          <w:szCs w:val="22"/>
        </w:rPr>
        <w:t xml:space="preserve"> alguna y sin que su regulación se haya canalizado mediante el debido procedimiento administrativo previsto a tal efecto.</w:t>
      </w:r>
    </w:p>
    <w:p w14:paraId="0F479779" w14:textId="456B73DB" w:rsidR="00BA14B6" w:rsidRPr="00ED7E64" w:rsidRDefault="0065690F" w:rsidP="00A87B86">
      <w:pPr>
        <w:pStyle w:val="BPLLprrafo0"/>
        <w:numPr>
          <w:ilvl w:val="0"/>
          <w:numId w:val="45"/>
        </w:numPr>
        <w:rPr>
          <w:rFonts w:asciiTheme="minorHAnsi" w:hAnsiTheme="minorHAnsi" w:cstheme="minorHAnsi"/>
          <w:b/>
          <w:bCs/>
          <w:szCs w:val="22"/>
        </w:rPr>
      </w:pPr>
      <w:r w:rsidRPr="00ED7E64">
        <w:rPr>
          <w:rFonts w:asciiTheme="minorHAnsi" w:hAnsiTheme="minorHAnsi" w:cstheme="minorHAnsi"/>
          <w:b/>
          <w:bCs/>
          <w:szCs w:val="22"/>
        </w:rPr>
        <w:t>SECCIÓN</w:t>
      </w:r>
      <w:r w:rsidR="00EE7C1F" w:rsidRPr="00ED7E64">
        <w:rPr>
          <w:rFonts w:asciiTheme="minorHAnsi" w:hAnsiTheme="minorHAnsi" w:cstheme="minorHAnsi"/>
          <w:b/>
          <w:bCs/>
          <w:szCs w:val="22"/>
        </w:rPr>
        <w:t xml:space="preserve"> </w:t>
      </w:r>
      <w:r w:rsidRPr="00ED7E64">
        <w:rPr>
          <w:rFonts w:asciiTheme="minorHAnsi" w:hAnsiTheme="minorHAnsi" w:cstheme="minorHAnsi"/>
          <w:b/>
          <w:bCs/>
          <w:szCs w:val="22"/>
        </w:rPr>
        <w:t>REALIZADA POR</w:t>
      </w:r>
      <w:r w:rsidR="00EE7C1F" w:rsidRPr="00ED7E64">
        <w:rPr>
          <w:rFonts w:asciiTheme="minorHAnsi" w:hAnsiTheme="minorHAnsi" w:cstheme="minorHAnsi"/>
          <w:b/>
          <w:bCs/>
          <w:szCs w:val="22"/>
        </w:rPr>
        <w:t xml:space="preserve"> EVERSHEDS</w:t>
      </w:r>
      <w:r w:rsidRPr="00ED7E64">
        <w:rPr>
          <w:rFonts w:asciiTheme="minorHAnsi" w:hAnsiTheme="minorHAnsi" w:cstheme="minorHAnsi"/>
          <w:b/>
          <w:bCs/>
          <w:szCs w:val="22"/>
        </w:rPr>
        <w:t xml:space="preserve"> SUTHERLAND</w:t>
      </w:r>
    </w:p>
    <w:p w14:paraId="417CA584" w14:textId="726CA41D" w:rsidR="00DB48E7" w:rsidRPr="00ED7E64" w:rsidRDefault="00DB48E7"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w:t>
      </w:r>
      <w:r w:rsidRPr="00ED7E64">
        <w:rPr>
          <w:rFonts w:asciiTheme="minorHAnsi" w:hAnsiTheme="minorHAnsi" w:cstheme="minorHAnsi"/>
          <w:szCs w:val="22"/>
          <w:highlight w:val="lightGray"/>
        </w:rPr>
        <w:t>*</w:t>
      </w:r>
      <w:r w:rsidRPr="00ED7E64">
        <w:rPr>
          <w:rFonts w:asciiTheme="minorHAnsi" w:hAnsiTheme="minorHAnsi" w:cstheme="minorHAnsi"/>
          <w:szCs w:val="22"/>
        </w:rPr>
        <w:t>]</w:t>
      </w:r>
    </w:p>
    <w:p w14:paraId="34897D8A" w14:textId="77777777" w:rsidR="003F5EDE" w:rsidRPr="00ED7E64" w:rsidRDefault="003F5EDE" w:rsidP="00A87B86">
      <w:pPr>
        <w:pStyle w:val="BPLLprrafo0"/>
        <w:numPr>
          <w:ilvl w:val="0"/>
          <w:numId w:val="45"/>
        </w:numPr>
        <w:rPr>
          <w:rFonts w:asciiTheme="minorHAnsi" w:hAnsiTheme="minorHAnsi" w:cstheme="minorHAnsi"/>
          <w:b/>
          <w:bCs/>
          <w:szCs w:val="22"/>
        </w:rPr>
      </w:pPr>
      <w:r w:rsidRPr="00ED7E64">
        <w:rPr>
          <w:rFonts w:asciiTheme="minorHAnsi" w:hAnsiTheme="minorHAnsi" w:cstheme="minorHAnsi"/>
          <w:b/>
          <w:bCs/>
          <w:szCs w:val="22"/>
        </w:rPr>
        <w:t>ÁMBITO DE APLICACIÓN OBJETIVA</w:t>
      </w:r>
    </w:p>
    <w:p w14:paraId="72AAAD3D" w14:textId="5400C3F4" w:rsidR="00026A00" w:rsidRPr="00ED7E64" w:rsidRDefault="003F5EDE" w:rsidP="00A727D8">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En relación con las infracciones que pueden ser objeto de la imposición de una prohibición de contratar por falseamiento de la competencia, l</w:t>
      </w:r>
      <w:r w:rsidR="00261DF0" w:rsidRPr="00ED7E64">
        <w:rPr>
          <w:rFonts w:asciiTheme="minorHAnsi" w:hAnsiTheme="minorHAnsi" w:cstheme="minorHAnsi"/>
          <w:szCs w:val="22"/>
        </w:rPr>
        <w:t>a Comunicación asume qu</w:t>
      </w:r>
      <w:r w:rsidR="00104A6A" w:rsidRPr="00ED7E64">
        <w:rPr>
          <w:rFonts w:asciiTheme="minorHAnsi" w:hAnsiTheme="minorHAnsi" w:cstheme="minorHAnsi"/>
          <w:szCs w:val="22"/>
        </w:rPr>
        <w:t xml:space="preserve">e </w:t>
      </w:r>
      <w:r w:rsidR="008952AE" w:rsidRPr="00ED7E64">
        <w:rPr>
          <w:rFonts w:asciiTheme="minorHAnsi" w:hAnsiTheme="minorHAnsi" w:cstheme="minorHAnsi"/>
          <w:szCs w:val="22"/>
        </w:rPr>
        <w:t>esta</w:t>
      </w:r>
      <w:r w:rsidR="00104A6A" w:rsidRPr="00ED7E64">
        <w:rPr>
          <w:rFonts w:asciiTheme="minorHAnsi" w:hAnsiTheme="minorHAnsi" w:cstheme="minorHAnsi"/>
          <w:szCs w:val="22"/>
        </w:rPr>
        <w:t xml:space="preserve"> puede imponerse a todas las sanciones graves y muy graves de la </w:t>
      </w:r>
      <w:r w:rsidR="00A573FA" w:rsidRPr="00ED7E64">
        <w:rPr>
          <w:rFonts w:asciiTheme="minorHAnsi" w:hAnsiTheme="minorHAnsi" w:cstheme="minorHAnsi"/>
          <w:szCs w:val="22"/>
        </w:rPr>
        <w:t>Ley 15/2007, de 3 de julio, de Defensa de la Competencia (“</w:t>
      </w:r>
      <w:r w:rsidR="00A573FA" w:rsidRPr="00ED7E64">
        <w:rPr>
          <w:rFonts w:asciiTheme="minorHAnsi" w:hAnsiTheme="minorHAnsi" w:cstheme="minorHAnsi"/>
          <w:b/>
          <w:bCs/>
          <w:szCs w:val="22"/>
        </w:rPr>
        <w:t>LDC</w:t>
      </w:r>
      <w:r w:rsidR="00A573FA" w:rsidRPr="00ED7E64">
        <w:rPr>
          <w:rFonts w:asciiTheme="minorHAnsi" w:hAnsiTheme="minorHAnsi" w:cstheme="minorHAnsi"/>
          <w:szCs w:val="22"/>
        </w:rPr>
        <w:t>”)</w:t>
      </w:r>
      <w:r w:rsidR="00104A6A" w:rsidRPr="00ED7E64">
        <w:rPr>
          <w:rFonts w:asciiTheme="minorHAnsi" w:hAnsiTheme="minorHAnsi" w:cstheme="minorHAnsi"/>
          <w:szCs w:val="22"/>
        </w:rPr>
        <w:t xml:space="preserve">. </w:t>
      </w:r>
    </w:p>
    <w:p w14:paraId="22CB41C6" w14:textId="3C6A44DA" w:rsidR="00A727D8" w:rsidRPr="00ED7E64" w:rsidRDefault="00104A6A" w:rsidP="00A727D8">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Sin embargo, </w:t>
      </w:r>
      <w:r w:rsidR="00026A00" w:rsidRPr="00ED7E64">
        <w:rPr>
          <w:rFonts w:asciiTheme="minorHAnsi" w:hAnsiTheme="minorHAnsi" w:cstheme="minorHAnsi"/>
          <w:szCs w:val="22"/>
        </w:rPr>
        <w:t xml:space="preserve">por un lado, cabe cuestionar si </w:t>
      </w:r>
      <w:r w:rsidR="006A436A" w:rsidRPr="00ED7E64">
        <w:rPr>
          <w:rFonts w:asciiTheme="minorHAnsi" w:hAnsiTheme="minorHAnsi" w:cstheme="minorHAnsi"/>
          <w:szCs w:val="22"/>
        </w:rPr>
        <w:t xml:space="preserve">cabe imponer la prohibición de contratar a </w:t>
      </w:r>
      <w:r w:rsidR="00026A00" w:rsidRPr="00ED7E64">
        <w:rPr>
          <w:rFonts w:asciiTheme="minorHAnsi" w:hAnsiTheme="minorHAnsi" w:cstheme="minorHAnsi"/>
          <w:szCs w:val="22"/>
        </w:rPr>
        <w:t xml:space="preserve">las infracciones de carácter grave recogidas en el </w:t>
      </w:r>
      <w:r w:rsidR="00026A00" w:rsidRPr="00ED7E64">
        <w:rPr>
          <w:rFonts w:asciiTheme="minorHAnsi" w:hAnsiTheme="minorHAnsi" w:cstheme="minorHAnsi"/>
          <w:b/>
          <w:bCs/>
          <w:szCs w:val="22"/>
        </w:rPr>
        <w:t>artículo 62</w:t>
      </w:r>
      <w:r w:rsidR="008108C0" w:rsidRPr="00ED7E64">
        <w:rPr>
          <w:rFonts w:asciiTheme="minorHAnsi" w:hAnsiTheme="minorHAnsi" w:cstheme="minorHAnsi"/>
          <w:b/>
          <w:bCs/>
          <w:szCs w:val="22"/>
        </w:rPr>
        <w:t>.3</w:t>
      </w:r>
      <w:r w:rsidR="00026A00" w:rsidRPr="00ED7E64">
        <w:rPr>
          <w:rFonts w:asciiTheme="minorHAnsi" w:hAnsiTheme="minorHAnsi" w:cstheme="minorHAnsi"/>
          <w:b/>
          <w:bCs/>
          <w:szCs w:val="22"/>
        </w:rPr>
        <w:t xml:space="preserve"> de la LDC</w:t>
      </w:r>
      <w:r w:rsidR="006A436A" w:rsidRPr="00ED7E64">
        <w:rPr>
          <w:rFonts w:asciiTheme="minorHAnsi" w:hAnsiTheme="minorHAnsi" w:cstheme="minorHAnsi"/>
          <w:szCs w:val="22"/>
        </w:rPr>
        <w:t xml:space="preserve">. </w:t>
      </w:r>
    </w:p>
    <w:p w14:paraId="226923E9" w14:textId="4BBAE57F" w:rsidR="003B2185" w:rsidRPr="00ED7E64" w:rsidRDefault="008108C0" w:rsidP="003B2185">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En particular, en lo que respecta a</w:t>
      </w:r>
      <w:r w:rsidR="00AA0907" w:rsidRPr="00ED7E64">
        <w:rPr>
          <w:rFonts w:asciiTheme="minorHAnsi" w:hAnsiTheme="minorHAnsi" w:cstheme="minorHAnsi"/>
          <w:szCs w:val="22"/>
        </w:rPr>
        <w:t xml:space="preserve"> la infracción consistente en </w:t>
      </w:r>
      <w:r w:rsidR="007743A2" w:rsidRPr="00ED7E64">
        <w:rPr>
          <w:rFonts w:asciiTheme="minorHAnsi" w:hAnsiTheme="minorHAnsi" w:cstheme="minorHAnsi"/>
          <w:szCs w:val="22"/>
        </w:rPr>
        <w:t>«</w:t>
      </w:r>
      <w:r w:rsidR="007743A2" w:rsidRPr="00ED7E64">
        <w:rPr>
          <w:rFonts w:asciiTheme="minorHAnsi" w:hAnsiTheme="minorHAnsi" w:cstheme="minorHAnsi"/>
          <w:i/>
          <w:iCs/>
          <w:szCs w:val="22"/>
        </w:rPr>
        <w:t xml:space="preserve">la ejecución de una concentración sujeta a control de acuerdo con lo previsto en esta ley antes de haber sido </w:t>
      </w:r>
      <w:r w:rsidR="007743A2" w:rsidRPr="00ED7E64">
        <w:rPr>
          <w:rFonts w:asciiTheme="minorHAnsi" w:hAnsiTheme="minorHAnsi" w:cstheme="minorHAnsi"/>
          <w:i/>
          <w:iCs/>
          <w:szCs w:val="22"/>
        </w:rPr>
        <w:lastRenderedPageBreak/>
        <w:t>notificada a la Comisión Nacional de los Mercados y la Competencia o antes de que haya recaído y sea ejecutiva resolución expresa o tácita autorizando la misma sin que se haya acordado el levantamiento de la suspensión</w:t>
      </w:r>
      <w:r w:rsidR="007743A2" w:rsidRPr="00ED7E64">
        <w:rPr>
          <w:rFonts w:asciiTheme="minorHAnsi" w:hAnsiTheme="minorHAnsi" w:cstheme="minorHAnsi"/>
          <w:szCs w:val="22"/>
        </w:rPr>
        <w:t>»</w:t>
      </w:r>
      <w:r w:rsidR="003B2185" w:rsidRPr="00ED7E64">
        <w:rPr>
          <w:rFonts w:asciiTheme="minorHAnsi" w:hAnsiTheme="minorHAnsi" w:cstheme="minorHAnsi"/>
          <w:szCs w:val="22"/>
        </w:rPr>
        <w:t xml:space="preserve">. Y ello por cuanto en la ausencia de notificación por parte de la sociedad no media ni dolo ni voluntad de ocultación, sino que puede deberse al desconocimiento de un determinado mercado y/o a una incorrecta valoración de la cuota del mercado relevante de producto o servicio en el ámbito nacional o en un mercado geográfico definido dentro del mismo. </w:t>
      </w:r>
    </w:p>
    <w:p w14:paraId="19048C03" w14:textId="11F1DBF8" w:rsidR="003B2185" w:rsidRPr="00ED7E64" w:rsidRDefault="003B2185" w:rsidP="008E05A4">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De hecho, esta infracción, considerada grave por la LDC, es frecuente que se produzca</w:t>
      </w:r>
      <w:r w:rsidR="00FF4365" w:rsidRPr="00ED7E64">
        <w:rPr>
          <w:rFonts w:asciiTheme="minorHAnsi" w:hAnsiTheme="minorHAnsi" w:cstheme="minorHAnsi"/>
          <w:szCs w:val="22"/>
        </w:rPr>
        <w:t xml:space="preserve"> en el sector farmacéutico</w:t>
      </w:r>
      <w:r w:rsidR="008E05A4" w:rsidRPr="00ED7E64">
        <w:rPr>
          <w:rFonts w:asciiTheme="minorHAnsi" w:hAnsiTheme="minorHAnsi" w:cstheme="minorHAnsi"/>
          <w:szCs w:val="22"/>
        </w:rPr>
        <w:t xml:space="preserve"> por cuanto las cuotas de mercado relevante de producto o servicio cada vez</w:t>
      </w:r>
      <w:r w:rsidR="002906D7" w:rsidRPr="00ED7E64">
        <w:rPr>
          <w:rFonts w:asciiTheme="minorHAnsi" w:hAnsiTheme="minorHAnsi" w:cstheme="minorHAnsi"/>
          <w:szCs w:val="22"/>
        </w:rPr>
        <w:t xml:space="preserve"> se definen de manera más</w:t>
      </w:r>
      <w:r w:rsidR="008E05A4" w:rsidRPr="00ED7E64">
        <w:rPr>
          <w:rFonts w:asciiTheme="minorHAnsi" w:hAnsiTheme="minorHAnsi" w:cstheme="minorHAnsi"/>
          <w:szCs w:val="22"/>
        </w:rPr>
        <w:t xml:space="preserve"> estrecha.</w:t>
      </w:r>
      <w:r w:rsidRPr="00ED7E64">
        <w:rPr>
          <w:rFonts w:asciiTheme="minorHAnsi" w:hAnsiTheme="minorHAnsi" w:cstheme="minorHAnsi"/>
          <w:szCs w:val="22"/>
        </w:rPr>
        <w:t xml:space="preserve"> </w:t>
      </w:r>
    </w:p>
    <w:p w14:paraId="6058273F" w14:textId="2C1ADB34" w:rsidR="00555A35" w:rsidRPr="00ED7E64" w:rsidRDefault="00026A00" w:rsidP="00555A35">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Por otro lado, </w:t>
      </w:r>
      <w:r w:rsidR="001B2CDB" w:rsidRPr="00ED7E64">
        <w:rPr>
          <w:rFonts w:asciiTheme="minorHAnsi" w:hAnsiTheme="minorHAnsi" w:cstheme="minorHAnsi"/>
          <w:szCs w:val="22"/>
        </w:rPr>
        <w:t xml:space="preserve">cabe </w:t>
      </w:r>
      <w:r w:rsidR="002906D7" w:rsidRPr="00ED7E64">
        <w:rPr>
          <w:rFonts w:asciiTheme="minorHAnsi" w:hAnsiTheme="minorHAnsi" w:cstheme="minorHAnsi"/>
          <w:szCs w:val="22"/>
        </w:rPr>
        <w:t xml:space="preserve">asimismo </w:t>
      </w:r>
      <w:r w:rsidR="001B2CDB" w:rsidRPr="00ED7E64">
        <w:rPr>
          <w:rFonts w:asciiTheme="minorHAnsi" w:hAnsiTheme="minorHAnsi" w:cstheme="minorHAnsi"/>
          <w:szCs w:val="22"/>
        </w:rPr>
        <w:t xml:space="preserve">cuestionar si la prohibición de contratar puede extenderse también a las infracciones </w:t>
      </w:r>
      <w:r w:rsidR="002906D7" w:rsidRPr="00ED7E64">
        <w:rPr>
          <w:rFonts w:asciiTheme="minorHAnsi" w:hAnsiTheme="minorHAnsi" w:cstheme="minorHAnsi"/>
          <w:szCs w:val="22"/>
        </w:rPr>
        <w:t xml:space="preserve">de la competencia </w:t>
      </w:r>
      <w:r w:rsidR="001B2CDB" w:rsidRPr="00ED7E64">
        <w:rPr>
          <w:rFonts w:asciiTheme="minorHAnsi" w:hAnsiTheme="minorHAnsi" w:cstheme="minorHAnsi"/>
          <w:szCs w:val="22"/>
        </w:rPr>
        <w:t xml:space="preserve">consistentes en un </w:t>
      </w:r>
      <w:r w:rsidR="001B2CDB" w:rsidRPr="00ED7E64">
        <w:rPr>
          <w:rFonts w:asciiTheme="minorHAnsi" w:hAnsiTheme="minorHAnsi" w:cstheme="minorHAnsi"/>
          <w:b/>
          <w:bCs/>
          <w:szCs w:val="22"/>
        </w:rPr>
        <w:t>abuso de posición de dominio</w:t>
      </w:r>
      <w:r w:rsidR="001B2CDB" w:rsidRPr="00ED7E64">
        <w:rPr>
          <w:rFonts w:asciiTheme="minorHAnsi" w:hAnsiTheme="minorHAnsi" w:cstheme="minorHAnsi"/>
          <w:szCs w:val="22"/>
        </w:rPr>
        <w:t xml:space="preserve">. A este respecto, cabe tener en cuenta </w:t>
      </w:r>
      <w:r w:rsidR="00555A35" w:rsidRPr="00ED7E64">
        <w:rPr>
          <w:rFonts w:asciiTheme="minorHAnsi" w:hAnsiTheme="minorHAnsi" w:cstheme="minorHAnsi"/>
          <w:szCs w:val="22"/>
        </w:rPr>
        <w:t>que,</w:t>
      </w:r>
      <w:r w:rsidR="001B2CDB" w:rsidRPr="00ED7E64">
        <w:rPr>
          <w:rFonts w:asciiTheme="minorHAnsi" w:hAnsiTheme="minorHAnsi" w:cstheme="minorHAnsi"/>
          <w:szCs w:val="22"/>
        </w:rPr>
        <w:t xml:space="preserve"> </w:t>
      </w:r>
      <w:r w:rsidR="003D7506" w:rsidRPr="00ED7E64">
        <w:rPr>
          <w:rFonts w:asciiTheme="minorHAnsi" w:hAnsiTheme="minorHAnsi" w:cstheme="minorHAnsi"/>
          <w:szCs w:val="22"/>
        </w:rPr>
        <w:t xml:space="preserve">en </w:t>
      </w:r>
      <w:r w:rsidR="002906D7" w:rsidRPr="00ED7E64">
        <w:rPr>
          <w:rFonts w:asciiTheme="minorHAnsi" w:hAnsiTheme="minorHAnsi" w:cstheme="minorHAnsi"/>
          <w:szCs w:val="22"/>
        </w:rPr>
        <w:t xml:space="preserve">los </w:t>
      </w:r>
      <w:r w:rsidR="003D7506" w:rsidRPr="00ED7E64">
        <w:rPr>
          <w:rFonts w:asciiTheme="minorHAnsi" w:hAnsiTheme="minorHAnsi" w:cstheme="minorHAnsi"/>
          <w:szCs w:val="22"/>
        </w:rPr>
        <w:t xml:space="preserve">casos de abuso de posición de dominio </w:t>
      </w:r>
      <w:r w:rsidR="00866FED" w:rsidRPr="00ED7E64">
        <w:rPr>
          <w:rFonts w:asciiTheme="minorHAnsi" w:hAnsiTheme="minorHAnsi" w:cstheme="minorHAnsi"/>
          <w:szCs w:val="22"/>
        </w:rPr>
        <w:t>con poca o nula gravedad</w:t>
      </w:r>
      <w:r w:rsidR="003D7506" w:rsidRPr="00ED7E64">
        <w:rPr>
          <w:rFonts w:asciiTheme="minorHAnsi" w:hAnsiTheme="minorHAnsi" w:cstheme="minorHAnsi"/>
          <w:szCs w:val="22"/>
        </w:rPr>
        <w:t>, la prohibición de contratar no debería aplicarse</w:t>
      </w:r>
      <w:r w:rsidR="001A48B2" w:rsidRPr="00ED7E64">
        <w:rPr>
          <w:rFonts w:asciiTheme="minorHAnsi" w:hAnsiTheme="minorHAnsi" w:cstheme="minorHAnsi"/>
          <w:szCs w:val="22"/>
        </w:rPr>
        <w:t>.</w:t>
      </w:r>
    </w:p>
    <w:p w14:paraId="152EC5F8" w14:textId="251C672B" w:rsidR="00643A80" w:rsidRPr="00ED7E64" w:rsidRDefault="00096184" w:rsidP="00906C9A">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Además, este tipo de infracci</w:t>
      </w:r>
      <w:r w:rsidR="002906D7" w:rsidRPr="00ED7E64">
        <w:rPr>
          <w:rFonts w:asciiTheme="minorHAnsi" w:hAnsiTheme="minorHAnsi" w:cstheme="minorHAnsi"/>
          <w:szCs w:val="22"/>
        </w:rPr>
        <w:t xml:space="preserve">ones son </w:t>
      </w:r>
      <w:r w:rsidRPr="00ED7E64">
        <w:rPr>
          <w:rFonts w:asciiTheme="minorHAnsi" w:hAnsiTheme="minorHAnsi" w:cstheme="minorHAnsi"/>
          <w:szCs w:val="22"/>
        </w:rPr>
        <w:t>más frecuente</w:t>
      </w:r>
      <w:r w:rsidR="002906D7" w:rsidRPr="00ED7E64">
        <w:rPr>
          <w:rFonts w:asciiTheme="minorHAnsi" w:hAnsiTheme="minorHAnsi" w:cstheme="minorHAnsi"/>
          <w:szCs w:val="22"/>
        </w:rPr>
        <w:t>s</w:t>
      </w:r>
      <w:r w:rsidRPr="00ED7E64">
        <w:rPr>
          <w:rFonts w:asciiTheme="minorHAnsi" w:hAnsiTheme="minorHAnsi" w:cstheme="minorHAnsi"/>
          <w:szCs w:val="22"/>
        </w:rPr>
        <w:t xml:space="preserve"> en </w:t>
      </w:r>
      <w:r w:rsidR="002906D7" w:rsidRPr="00ED7E64">
        <w:rPr>
          <w:rFonts w:asciiTheme="minorHAnsi" w:hAnsiTheme="minorHAnsi" w:cstheme="minorHAnsi"/>
          <w:szCs w:val="22"/>
        </w:rPr>
        <w:t xml:space="preserve">las conductas de los laboratorios farmacéuticos </w:t>
      </w:r>
      <w:r w:rsidRPr="00ED7E64">
        <w:rPr>
          <w:rFonts w:asciiTheme="minorHAnsi" w:hAnsiTheme="minorHAnsi" w:cstheme="minorHAnsi"/>
          <w:szCs w:val="22"/>
        </w:rPr>
        <w:t>dad</w:t>
      </w:r>
      <w:r w:rsidR="0009557D" w:rsidRPr="00ED7E64">
        <w:rPr>
          <w:rFonts w:asciiTheme="minorHAnsi" w:hAnsiTheme="minorHAnsi" w:cstheme="minorHAnsi"/>
          <w:szCs w:val="22"/>
        </w:rPr>
        <w:t>as las particularidades</w:t>
      </w:r>
      <w:r w:rsidR="002906D7" w:rsidRPr="00ED7E64">
        <w:rPr>
          <w:rFonts w:asciiTheme="minorHAnsi" w:hAnsiTheme="minorHAnsi" w:cstheme="minorHAnsi"/>
          <w:szCs w:val="22"/>
        </w:rPr>
        <w:t xml:space="preserve"> de las estructuras de los mercados en los que </w:t>
      </w:r>
      <w:r w:rsidR="00C63123" w:rsidRPr="00ED7E64">
        <w:rPr>
          <w:rFonts w:asciiTheme="minorHAnsi" w:hAnsiTheme="minorHAnsi" w:cstheme="minorHAnsi"/>
          <w:szCs w:val="22"/>
        </w:rPr>
        <w:t xml:space="preserve">estos </w:t>
      </w:r>
      <w:r w:rsidR="002906D7" w:rsidRPr="00ED7E64">
        <w:rPr>
          <w:rFonts w:asciiTheme="minorHAnsi" w:hAnsiTheme="minorHAnsi" w:cstheme="minorHAnsi"/>
          <w:szCs w:val="22"/>
        </w:rPr>
        <w:t>operan</w:t>
      </w:r>
      <w:r w:rsidR="0009557D" w:rsidRPr="00ED7E64">
        <w:rPr>
          <w:rFonts w:asciiTheme="minorHAnsi" w:hAnsiTheme="minorHAnsi" w:cstheme="minorHAnsi"/>
          <w:szCs w:val="22"/>
        </w:rPr>
        <w:t xml:space="preserve"> expuestas anteriormente</w:t>
      </w:r>
      <w:r w:rsidR="001A48B2" w:rsidRPr="00ED7E64">
        <w:rPr>
          <w:rFonts w:asciiTheme="minorHAnsi" w:hAnsiTheme="minorHAnsi" w:cstheme="minorHAnsi"/>
          <w:szCs w:val="22"/>
        </w:rPr>
        <w:t>, así como la referida tendencia a definir los mercados de forma más estrecha</w:t>
      </w:r>
      <w:r w:rsidR="00C63123" w:rsidRPr="00ED7E64">
        <w:rPr>
          <w:rFonts w:asciiTheme="minorHAnsi" w:hAnsiTheme="minorHAnsi" w:cstheme="minorHAnsi"/>
          <w:szCs w:val="22"/>
        </w:rPr>
        <w:t>.</w:t>
      </w:r>
    </w:p>
    <w:p w14:paraId="14A9D254" w14:textId="6F8343F0" w:rsidR="003F5EDE" w:rsidRPr="00ED7E64" w:rsidRDefault="003F5EDE" w:rsidP="003F5EDE">
      <w:pPr>
        <w:pStyle w:val="BPLLprrafo0"/>
        <w:numPr>
          <w:ilvl w:val="0"/>
          <w:numId w:val="45"/>
        </w:numPr>
        <w:rPr>
          <w:rFonts w:asciiTheme="minorHAnsi" w:hAnsiTheme="minorHAnsi" w:cstheme="minorHAnsi"/>
          <w:b/>
          <w:bCs/>
          <w:szCs w:val="22"/>
        </w:rPr>
      </w:pPr>
      <w:r w:rsidRPr="00ED7E64">
        <w:rPr>
          <w:rFonts w:asciiTheme="minorHAnsi" w:hAnsiTheme="minorHAnsi" w:cstheme="minorHAnsi"/>
          <w:b/>
          <w:bCs/>
          <w:szCs w:val="22"/>
        </w:rPr>
        <w:t>ÁMBITO DE APLICACIÓN SUBJETIVA</w:t>
      </w:r>
    </w:p>
    <w:p w14:paraId="48B35ECA" w14:textId="3E5D36D1" w:rsidR="001E4DAC" w:rsidRPr="00ED7E64" w:rsidRDefault="001E4DAC" w:rsidP="001E4DAC">
      <w:pPr>
        <w:pStyle w:val="BPLLprrafonumerado"/>
        <w:numPr>
          <w:ilvl w:val="0"/>
          <w:numId w:val="50"/>
        </w:numPr>
        <w:ind w:left="709" w:hanging="709"/>
        <w:rPr>
          <w:rFonts w:asciiTheme="minorHAnsi" w:hAnsiTheme="minorHAnsi" w:cstheme="minorHAnsi"/>
          <w:i/>
          <w:iCs/>
          <w:szCs w:val="22"/>
        </w:rPr>
      </w:pPr>
      <w:r w:rsidRPr="00ED7E64">
        <w:rPr>
          <w:rFonts w:asciiTheme="minorHAnsi" w:hAnsiTheme="minorHAnsi" w:cstheme="minorHAnsi"/>
          <w:szCs w:val="22"/>
        </w:rPr>
        <w:t>La Comunicación considera que «</w:t>
      </w:r>
      <w:r w:rsidRPr="00ED7E64">
        <w:rPr>
          <w:rFonts w:asciiTheme="minorHAnsi" w:hAnsiTheme="minorHAnsi" w:cstheme="minorHAnsi"/>
          <w:i/>
          <w:iCs/>
          <w:szCs w:val="22"/>
        </w:rPr>
        <w:t>los representantes legales de las empresas o personas que integren sus órganos directivos pueden ser sancionados</w:t>
      </w:r>
      <w:r w:rsidR="009E045D" w:rsidRPr="00ED7E64">
        <w:rPr>
          <w:rFonts w:asciiTheme="minorHAnsi" w:hAnsiTheme="minorHAnsi" w:cstheme="minorHAnsi"/>
          <w:i/>
          <w:iCs/>
          <w:szCs w:val="22"/>
        </w:rPr>
        <w:t xml:space="preserve"> </w:t>
      </w:r>
      <w:r w:rsidR="009E045D" w:rsidRPr="00ED7E64">
        <w:rPr>
          <w:rFonts w:asciiTheme="minorHAnsi" w:hAnsiTheme="minorHAnsi" w:cstheme="minorHAnsi"/>
          <w:szCs w:val="22"/>
        </w:rPr>
        <w:t>[sic]</w:t>
      </w:r>
      <w:r w:rsidR="009E045D" w:rsidRPr="00ED7E64">
        <w:rPr>
          <w:rFonts w:asciiTheme="minorHAnsi" w:hAnsiTheme="minorHAnsi" w:cstheme="minorHAnsi"/>
          <w:i/>
          <w:iCs/>
          <w:szCs w:val="22"/>
        </w:rPr>
        <w:t xml:space="preserve"> </w:t>
      </w:r>
      <w:r w:rsidRPr="00ED7E64">
        <w:rPr>
          <w:rFonts w:asciiTheme="minorHAnsi" w:hAnsiTheme="minorHAnsi" w:cstheme="minorHAnsi"/>
          <w:i/>
          <w:iCs/>
          <w:szCs w:val="22"/>
        </w:rPr>
        <w:t>no procede excluir a las personas físicas del ámbito de aplicación subjetivo de aplicación de la prohibición de contratar</w:t>
      </w:r>
      <w:r w:rsidRPr="00ED7E64">
        <w:rPr>
          <w:rFonts w:asciiTheme="minorHAnsi" w:hAnsiTheme="minorHAnsi" w:cstheme="minorHAnsi"/>
          <w:szCs w:val="22"/>
        </w:rPr>
        <w:t>».</w:t>
      </w:r>
    </w:p>
    <w:p w14:paraId="0B0CCDA6" w14:textId="297461AE" w:rsidR="001E4DAC" w:rsidRPr="00ED7E64" w:rsidRDefault="009E045D" w:rsidP="00253DA3">
      <w:pPr>
        <w:pStyle w:val="BPLLprrafonumerado"/>
        <w:numPr>
          <w:ilvl w:val="0"/>
          <w:numId w:val="50"/>
        </w:numPr>
        <w:ind w:left="709" w:hanging="709"/>
        <w:rPr>
          <w:rFonts w:asciiTheme="minorHAnsi" w:hAnsiTheme="minorHAnsi" w:cstheme="minorHAnsi"/>
          <w:i/>
          <w:iCs/>
          <w:szCs w:val="22"/>
        </w:rPr>
      </w:pPr>
      <w:r w:rsidRPr="00ED7E64">
        <w:rPr>
          <w:rFonts w:asciiTheme="minorHAnsi" w:hAnsiTheme="minorHAnsi" w:cstheme="minorHAnsi"/>
          <w:szCs w:val="22"/>
        </w:rPr>
        <w:t>No obstante</w:t>
      </w:r>
      <w:r w:rsidR="001E4DAC" w:rsidRPr="00ED7E64">
        <w:rPr>
          <w:rFonts w:asciiTheme="minorHAnsi" w:hAnsiTheme="minorHAnsi" w:cstheme="minorHAnsi"/>
          <w:szCs w:val="22"/>
        </w:rPr>
        <w:t xml:space="preserve">, debe cuestionarse el sentido que tiene la imposición de la prohibición de contratar a una persona física. </w:t>
      </w:r>
      <w:r w:rsidR="005B3439" w:rsidRPr="00ED7E64">
        <w:rPr>
          <w:rFonts w:asciiTheme="minorHAnsi" w:hAnsiTheme="minorHAnsi" w:cstheme="minorHAnsi"/>
          <w:szCs w:val="22"/>
        </w:rPr>
        <w:t>Ante todo</w:t>
      </w:r>
      <w:r w:rsidR="001E4DAC" w:rsidRPr="00ED7E64">
        <w:rPr>
          <w:rFonts w:asciiTheme="minorHAnsi" w:hAnsiTheme="minorHAnsi" w:cstheme="minorHAnsi"/>
          <w:szCs w:val="22"/>
        </w:rPr>
        <w:t xml:space="preserve">, no cabe extender la referida sanción a la persona física de forma automática, a diferencia </w:t>
      </w:r>
      <w:r w:rsidRPr="00ED7E64">
        <w:rPr>
          <w:rFonts w:asciiTheme="minorHAnsi" w:hAnsiTheme="minorHAnsi" w:cstheme="minorHAnsi"/>
          <w:szCs w:val="22"/>
        </w:rPr>
        <w:t>de la asunción que</w:t>
      </w:r>
      <w:r w:rsidR="001E4DAC" w:rsidRPr="00ED7E64">
        <w:rPr>
          <w:rFonts w:asciiTheme="minorHAnsi" w:hAnsiTheme="minorHAnsi" w:cstheme="minorHAnsi"/>
          <w:szCs w:val="22"/>
        </w:rPr>
        <w:t xml:space="preserve"> efectivamente </w:t>
      </w:r>
      <w:r w:rsidR="005B3439" w:rsidRPr="00ED7E64">
        <w:rPr>
          <w:rFonts w:asciiTheme="minorHAnsi" w:hAnsiTheme="minorHAnsi" w:cstheme="minorHAnsi"/>
          <w:szCs w:val="22"/>
        </w:rPr>
        <w:t>efectúa</w:t>
      </w:r>
      <w:r w:rsidR="001E4DAC" w:rsidRPr="00ED7E64">
        <w:rPr>
          <w:rFonts w:asciiTheme="minorHAnsi" w:hAnsiTheme="minorHAnsi" w:cstheme="minorHAnsi"/>
          <w:szCs w:val="22"/>
        </w:rPr>
        <w:t xml:space="preserve"> la Comunicación</w:t>
      </w:r>
      <w:r w:rsidRPr="00ED7E64">
        <w:rPr>
          <w:rFonts w:asciiTheme="minorHAnsi" w:hAnsiTheme="minorHAnsi" w:cstheme="minorHAnsi"/>
          <w:szCs w:val="22"/>
        </w:rPr>
        <w:t>. M</w:t>
      </w:r>
      <w:r w:rsidR="005B3439" w:rsidRPr="00ED7E64">
        <w:rPr>
          <w:rFonts w:asciiTheme="minorHAnsi" w:hAnsiTheme="minorHAnsi" w:cstheme="minorHAnsi"/>
          <w:szCs w:val="22"/>
        </w:rPr>
        <w:t>ás aún si se tiene en cuenta que se estaría extendiendo una responsabilidad personal a representantes legales o personas que integran los órganos directivos de las empresas</w:t>
      </w:r>
      <w:r w:rsidRPr="00ED7E64">
        <w:rPr>
          <w:rFonts w:asciiTheme="minorHAnsi" w:hAnsiTheme="minorHAnsi" w:cstheme="minorHAnsi"/>
          <w:szCs w:val="22"/>
        </w:rPr>
        <w:t xml:space="preserve"> sin que tal extensión se motive de forma alguna</w:t>
      </w:r>
      <w:r w:rsidR="001E4DAC" w:rsidRPr="00ED7E64">
        <w:rPr>
          <w:rFonts w:asciiTheme="minorHAnsi" w:hAnsiTheme="minorHAnsi" w:cstheme="minorHAnsi"/>
          <w:szCs w:val="22"/>
        </w:rPr>
        <w:t>.</w:t>
      </w:r>
      <w:r w:rsidR="005B3439" w:rsidRPr="00ED7E64">
        <w:rPr>
          <w:rFonts w:asciiTheme="minorHAnsi" w:hAnsiTheme="minorHAnsi" w:cstheme="minorHAnsi"/>
          <w:szCs w:val="22"/>
        </w:rPr>
        <w:t xml:space="preserve"> De todas formas, </w:t>
      </w:r>
      <w:r w:rsidR="00253DA3" w:rsidRPr="00ED7E64">
        <w:rPr>
          <w:rFonts w:asciiTheme="minorHAnsi" w:hAnsiTheme="minorHAnsi" w:cstheme="minorHAnsi"/>
          <w:szCs w:val="22"/>
        </w:rPr>
        <w:t xml:space="preserve">entrar a </w:t>
      </w:r>
      <w:r w:rsidR="005B3439" w:rsidRPr="00ED7E64">
        <w:rPr>
          <w:rFonts w:asciiTheme="minorHAnsi" w:hAnsiTheme="minorHAnsi" w:cstheme="minorHAnsi"/>
          <w:szCs w:val="22"/>
        </w:rPr>
        <w:t>valorar su alcance material resulta</w:t>
      </w:r>
      <w:r w:rsidR="00253DA3" w:rsidRPr="00ED7E64">
        <w:rPr>
          <w:rFonts w:asciiTheme="minorHAnsi" w:hAnsiTheme="minorHAnsi" w:cstheme="minorHAnsi"/>
          <w:szCs w:val="22"/>
        </w:rPr>
        <w:t>, cuanto menos, absurdo.</w:t>
      </w:r>
    </w:p>
    <w:p w14:paraId="08D1D9FC" w14:textId="0D47F9F8" w:rsidR="00840032" w:rsidRPr="00ED7E64" w:rsidRDefault="00131537" w:rsidP="00A87B86">
      <w:pPr>
        <w:pStyle w:val="BPLLprrafo0"/>
        <w:numPr>
          <w:ilvl w:val="0"/>
          <w:numId w:val="45"/>
        </w:numPr>
        <w:rPr>
          <w:rFonts w:asciiTheme="minorHAnsi" w:hAnsiTheme="minorHAnsi" w:cstheme="minorHAnsi"/>
          <w:szCs w:val="22"/>
        </w:rPr>
      </w:pPr>
      <w:r w:rsidRPr="00ED7E64">
        <w:rPr>
          <w:rFonts w:asciiTheme="minorHAnsi" w:hAnsiTheme="minorHAnsi" w:cstheme="minorHAnsi"/>
          <w:b/>
          <w:bCs/>
          <w:szCs w:val="22"/>
        </w:rPr>
        <w:t>ALCANCE Y DURACIÓN</w:t>
      </w:r>
    </w:p>
    <w:p w14:paraId="058612EC" w14:textId="27BE299C" w:rsidR="0027183A" w:rsidRPr="00ED7E64" w:rsidRDefault="00131537"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En la Comunicación</w:t>
      </w:r>
      <w:r w:rsidR="0027183A" w:rsidRPr="00ED7E64">
        <w:rPr>
          <w:rFonts w:asciiTheme="minorHAnsi" w:hAnsiTheme="minorHAnsi" w:cstheme="minorHAnsi"/>
          <w:szCs w:val="22"/>
        </w:rPr>
        <w:t xml:space="preserve"> se indica la necesidad de que las prohibiciones de contratar estén claramente definidas y limitadas en el tiempo, y ello con arreglo a lo establecido en la sentencia del Tribunal Supremo (Sala de lo Contencioso-Administrativo, Sección Tercera) 1115/2021, de 14 de septiembre (ES:TS:2021:3366), </w:t>
      </w:r>
      <w:r w:rsidR="008814A5" w:rsidRPr="00ED7E64">
        <w:rPr>
          <w:rFonts w:asciiTheme="minorHAnsi" w:hAnsiTheme="minorHAnsi" w:cstheme="minorHAnsi"/>
          <w:szCs w:val="22"/>
        </w:rPr>
        <w:t xml:space="preserve">cuyo </w:t>
      </w:r>
      <w:r w:rsidR="0027183A" w:rsidRPr="00ED7E64">
        <w:rPr>
          <w:rFonts w:asciiTheme="minorHAnsi" w:hAnsiTheme="minorHAnsi" w:cstheme="minorHAnsi"/>
          <w:szCs w:val="22"/>
        </w:rPr>
        <w:t>f</w:t>
      </w:r>
      <w:r w:rsidR="00FF5497" w:rsidRPr="00ED7E64">
        <w:rPr>
          <w:rFonts w:asciiTheme="minorHAnsi" w:hAnsiTheme="minorHAnsi" w:cstheme="minorHAnsi"/>
          <w:szCs w:val="22"/>
        </w:rPr>
        <w:t>undamento jurídico tercero</w:t>
      </w:r>
      <w:r w:rsidR="008814A5" w:rsidRPr="00ED7E64">
        <w:rPr>
          <w:rFonts w:asciiTheme="minorHAnsi" w:hAnsiTheme="minorHAnsi" w:cstheme="minorHAnsi"/>
          <w:szCs w:val="22"/>
        </w:rPr>
        <w:t xml:space="preserve"> establece que</w:t>
      </w:r>
      <w:r w:rsidR="0027183A" w:rsidRPr="00ED7E64">
        <w:rPr>
          <w:rFonts w:asciiTheme="minorHAnsi" w:hAnsiTheme="minorHAnsi" w:cstheme="minorHAnsi"/>
          <w:szCs w:val="22"/>
        </w:rPr>
        <w:t xml:space="preserve">: </w:t>
      </w:r>
    </w:p>
    <w:p w14:paraId="554594C0" w14:textId="3E256429" w:rsidR="004B2DFA" w:rsidRPr="00ED7E64" w:rsidRDefault="004B2DFA" w:rsidP="00DB48E7">
      <w:pPr>
        <w:pStyle w:val="Default"/>
        <w:spacing w:line="276" w:lineRule="auto"/>
        <w:ind w:left="1360"/>
        <w:jc w:val="both"/>
        <w:rPr>
          <w:rFonts w:asciiTheme="minorHAnsi" w:hAnsiTheme="minorHAnsi" w:cstheme="minorHAnsi"/>
          <w:color w:val="auto"/>
          <w:sz w:val="22"/>
          <w:szCs w:val="22"/>
        </w:rPr>
      </w:pPr>
      <w:r w:rsidRPr="00ED7E64">
        <w:rPr>
          <w:rFonts w:asciiTheme="minorHAnsi" w:hAnsiTheme="minorHAnsi" w:cstheme="minorHAnsi"/>
          <w:color w:val="auto"/>
          <w:sz w:val="22"/>
          <w:szCs w:val="22"/>
        </w:rPr>
        <w:t>«</w:t>
      </w:r>
      <w:r w:rsidR="00F651E7" w:rsidRPr="00ED7E64">
        <w:rPr>
          <w:rFonts w:asciiTheme="minorHAnsi" w:hAnsiTheme="minorHAnsi" w:cstheme="minorHAnsi"/>
          <w:i/>
          <w:iCs/>
          <w:color w:val="auto"/>
          <w:sz w:val="22"/>
          <w:szCs w:val="22"/>
        </w:rPr>
        <w:t>l</w:t>
      </w:r>
      <w:r w:rsidR="0027183A" w:rsidRPr="00ED7E64">
        <w:rPr>
          <w:rFonts w:asciiTheme="minorHAnsi" w:hAnsiTheme="minorHAnsi" w:cstheme="minorHAnsi"/>
          <w:i/>
          <w:iCs/>
          <w:color w:val="auto"/>
          <w:sz w:val="22"/>
          <w:szCs w:val="22"/>
        </w:rPr>
        <w:t>a</w:t>
      </w:r>
      <w:r w:rsidR="00F651E7" w:rsidRPr="00ED7E64">
        <w:rPr>
          <w:rFonts w:asciiTheme="minorHAnsi" w:hAnsiTheme="minorHAnsi" w:cstheme="minorHAnsi"/>
          <w:i/>
          <w:iCs/>
          <w:color w:val="auto"/>
          <w:sz w:val="22"/>
          <w:szCs w:val="22"/>
        </w:rPr>
        <w:t xml:space="preserve"> </w:t>
      </w:r>
      <w:r w:rsidR="00F651E7" w:rsidRPr="00ED7E64">
        <w:rPr>
          <w:rFonts w:asciiTheme="minorHAnsi" w:hAnsiTheme="minorHAnsi" w:cstheme="minorHAnsi"/>
          <w:color w:val="auto"/>
          <w:sz w:val="22"/>
          <w:szCs w:val="22"/>
        </w:rPr>
        <w:t>[sic]</w:t>
      </w:r>
      <w:r w:rsidR="0027183A" w:rsidRPr="00ED7E64">
        <w:rPr>
          <w:rFonts w:asciiTheme="minorHAnsi" w:hAnsiTheme="minorHAnsi" w:cstheme="minorHAnsi"/>
          <w:i/>
          <w:iCs/>
          <w:color w:val="auto"/>
          <w:sz w:val="22"/>
          <w:szCs w:val="22"/>
        </w:rPr>
        <w:t xml:space="preserve"> prohibiciones de contratar, como toda limitación, no pueden ser ni indefinidas ni ilimitadas, sería contrario a los más elementales principios que rigen las medidas sancionadoras o restrictivas, entre ellos el principio de seguridad jurídica y el principio de proporcionalidad, en cuanto exigen que tanto el sancionado como terceros conozcan hasta dónde alcanza la prohibición y, a su vez, se pueda cuestionar y revisar si la limitación establecida es adecuada y ajustada a la sanción impuesta y a los hechos en los que se funda</w:t>
      </w:r>
      <w:r w:rsidR="0027183A" w:rsidRPr="00ED7E64">
        <w:rPr>
          <w:rFonts w:asciiTheme="minorHAnsi" w:hAnsiTheme="minorHAnsi" w:cstheme="minorHAnsi"/>
          <w:color w:val="auto"/>
          <w:sz w:val="22"/>
          <w:szCs w:val="22"/>
        </w:rPr>
        <w:t>.</w:t>
      </w:r>
      <w:r w:rsidRPr="00ED7E64">
        <w:rPr>
          <w:rFonts w:asciiTheme="minorHAnsi" w:hAnsiTheme="minorHAnsi" w:cstheme="minorHAnsi"/>
          <w:color w:val="auto"/>
          <w:sz w:val="22"/>
          <w:szCs w:val="22"/>
        </w:rPr>
        <w:t>»</w:t>
      </w:r>
      <w:r w:rsidR="0027183A" w:rsidRPr="00ED7E64">
        <w:rPr>
          <w:rFonts w:asciiTheme="minorHAnsi" w:hAnsiTheme="minorHAnsi" w:cstheme="minorHAnsi"/>
          <w:color w:val="auto"/>
          <w:sz w:val="22"/>
          <w:szCs w:val="22"/>
        </w:rPr>
        <w:t xml:space="preserve"> </w:t>
      </w:r>
    </w:p>
    <w:p w14:paraId="64CB4441" w14:textId="77777777" w:rsidR="004B2DFA" w:rsidRPr="00ED7E64" w:rsidRDefault="004B2DFA" w:rsidP="00A87B86">
      <w:pPr>
        <w:pStyle w:val="Default"/>
        <w:spacing w:line="276" w:lineRule="auto"/>
        <w:ind w:left="680"/>
        <w:jc w:val="both"/>
        <w:rPr>
          <w:rFonts w:asciiTheme="minorHAnsi" w:hAnsiTheme="minorHAnsi" w:cstheme="minorHAnsi"/>
          <w:color w:val="auto"/>
          <w:sz w:val="22"/>
          <w:szCs w:val="22"/>
        </w:rPr>
      </w:pPr>
    </w:p>
    <w:p w14:paraId="4202ED6B" w14:textId="61221014" w:rsidR="00FF5497" w:rsidRPr="00ED7E64" w:rsidRDefault="004B2DFA"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Por tanto, </w:t>
      </w:r>
      <w:r w:rsidR="00143916" w:rsidRPr="00ED7E64">
        <w:rPr>
          <w:rFonts w:asciiTheme="minorHAnsi" w:hAnsiTheme="minorHAnsi" w:cstheme="minorHAnsi"/>
          <w:szCs w:val="22"/>
        </w:rPr>
        <w:t>para no contradecir los principios que rigen la imposición de medidas sancionador</w:t>
      </w:r>
      <w:r w:rsidR="006356E2" w:rsidRPr="00ED7E64">
        <w:rPr>
          <w:rFonts w:asciiTheme="minorHAnsi" w:hAnsiTheme="minorHAnsi" w:cstheme="minorHAnsi"/>
          <w:szCs w:val="22"/>
        </w:rPr>
        <w:t>a</w:t>
      </w:r>
      <w:r w:rsidR="00143916" w:rsidRPr="00ED7E64">
        <w:rPr>
          <w:rFonts w:asciiTheme="minorHAnsi" w:hAnsiTheme="minorHAnsi" w:cstheme="minorHAnsi"/>
          <w:szCs w:val="22"/>
        </w:rPr>
        <w:t>s</w:t>
      </w:r>
      <w:r w:rsidR="00961F5B" w:rsidRPr="00ED7E64">
        <w:rPr>
          <w:rFonts w:asciiTheme="minorHAnsi" w:hAnsiTheme="minorHAnsi" w:cstheme="minorHAnsi"/>
          <w:szCs w:val="22"/>
        </w:rPr>
        <w:t xml:space="preserve">, </w:t>
      </w:r>
      <w:r w:rsidR="00143916" w:rsidRPr="00ED7E64">
        <w:rPr>
          <w:rFonts w:asciiTheme="minorHAnsi" w:hAnsiTheme="minorHAnsi" w:cstheme="minorHAnsi"/>
          <w:szCs w:val="22"/>
        </w:rPr>
        <w:t xml:space="preserve">tanto la persona sancionada como </w:t>
      </w:r>
      <w:r w:rsidR="00961F5B" w:rsidRPr="00ED7E64">
        <w:rPr>
          <w:rFonts w:asciiTheme="minorHAnsi" w:hAnsiTheme="minorHAnsi" w:cstheme="minorHAnsi"/>
          <w:szCs w:val="22"/>
        </w:rPr>
        <w:t xml:space="preserve">las </w:t>
      </w:r>
      <w:r w:rsidR="00143916" w:rsidRPr="00ED7E64">
        <w:rPr>
          <w:rFonts w:asciiTheme="minorHAnsi" w:hAnsiTheme="minorHAnsi" w:cstheme="minorHAnsi"/>
          <w:szCs w:val="22"/>
        </w:rPr>
        <w:t>tercer</w:t>
      </w:r>
      <w:r w:rsidR="00961F5B" w:rsidRPr="00ED7E64">
        <w:rPr>
          <w:rFonts w:asciiTheme="minorHAnsi" w:hAnsiTheme="minorHAnsi" w:cstheme="minorHAnsi"/>
          <w:szCs w:val="22"/>
        </w:rPr>
        <w:t>as personas</w:t>
      </w:r>
      <w:r w:rsidR="00143916" w:rsidRPr="00ED7E64">
        <w:rPr>
          <w:rFonts w:asciiTheme="minorHAnsi" w:hAnsiTheme="minorHAnsi" w:cstheme="minorHAnsi"/>
          <w:szCs w:val="22"/>
        </w:rPr>
        <w:t xml:space="preserve"> deben conocer hasta dónde alcanza la prohibición</w:t>
      </w:r>
      <w:r w:rsidR="00961F5B" w:rsidRPr="00ED7E64">
        <w:rPr>
          <w:rFonts w:asciiTheme="minorHAnsi" w:hAnsiTheme="minorHAnsi" w:cstheme="minorHAnsi"/>
          <w:szCs w:val="22"/>
        </w:rPr>
        <w:t xml:space="preserve"> de contratar</w:t>
      </w:r>
      <w:r w:rsidR="00143916" w:rsidRPr="00ED7E64">
        <w:rPr>
          <w:rFonts w:asciiTheme="minorHAnsi" w:hAnsiTheme="minorHAnsi" w:cstheme="minorHAnsi"/>
          <w:szCs w:val="22"/>
        </w:rPr>
        <w:t xml:space="preserve"> y su duración para que estos puedan, en su caso, cuestionar y revisar si la prohibición de contratar impuesta es adecuada y ajustada a los hechos en los que se basa.</w:t>
      </w:r>
    </w:p>
    <w:p w14:paraId="07D89D30" w14:textId="18279DFC" w:rsidR="00896323" w:rsidRPr="00ED7E64" w:rsidRDefault="00FF5497"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A este respecto, la CNMC sustenta que</w:t>
      </w:r>
      <w:r w:rsidR="00A87DD9" w:rsidRPr="00ED7E64">
        <w:rPr>
          <w:rFonts w:asciiTheme="minorHAnsi" w:hAnsiTheme="minorHAnsi" w:cstheme="minorHAnsi"/>
          <w:szCs w:val="22"/>
        </w:rPr>
        <w:t xml:space="preserve"> la </w:t>
      </w:r>
      <w:r w:rsidR="00A87DD9" w:rsidRPr="00ED7E64">
        <w:rPr>
          <w:rFonts w:asciiTheme="minorHAnsi" w:hAnsiTheme="minorHAnsi" w:cstheme="minorHAnsi"/>
          <w:b/>
          <w:bCs/>
          <w:szCs w:val="22"/>
        </w:rPr>
        <w:t>estructura del mercado afectado</w:t>
      </w:r>
      <w:r w:rsidR="00A87DD9" w:rsidRPr="00ED7E64">
        <w:rPr>
          <w:rFonts w:asciiTheme="minorHAnsi" w:hAnsiTheme="minorHAnsi" w:cstheme="minorHAnsi"/>
          <w:szCs w:val="22"/>
        </w:rPr>
        <w:t xml:space="preserve"> es un elemento clave para determinar </w:t>
      </w:r>
      <w:r w:rsidR="00705E8F" w:rsidRPr="00ED7E64">
        <w:rPr>
          <w:rFonts w:asciiTheme="minorHAnsi" w:hAnsiTheme="minorHAnsi" w:cstheme="minorHAnsi"/>
          <w:szCs w:val="22"/>
        </w:rPr>
        <w:t xml:space="preserve">el alcance y la duración de </w:t>
      </w:r>
      <w:r w:rsidR="00A87DD9" w:rsidRPr="00ED7E64">
        <w:rPr>
          <w:rFonts w:asciiTheme="minorHAnsi" w:hAnsiTheme="minorHAnsi" w:cstheme="minorHAnsi"/>
          <w:szCs w:val="22"/>
        </w:rPr>
        <w:t>la prohibición de contratar</w:t>
      </w:r>
      <w:r w:rsidR="00705E8F" w:rsidRPr="00ED7E64">
        <w:rPr>
          <w:rFonts w:asciiTheme="minorHAnsi" w:hAnsiTheme="minorHAnsi" w:cstheme="minorHAnsi"/>
          <w:szCs w:val="22"/>
        </w:rPr>
        <w:t xml:space="preserve"> en un caso concreto</w:t>
      </w:r>
      <w:r w:rsidR="00A87DD9" w:rsidRPr="00ED7E64">
        <w:rPr>
          <w:rFonts w:asciiTheme="minorHAnsi" w:hAnsiTheme="minorHAnsi" w:cstheme="minorHAnsi"/>
          <w:szCs w:val="22"/>
        </w:rPr>
        <w:t xml:space="preserve">, </w:t>
      </w:r>
      <w:r w:rsidR="00705E8F" w:rsidRPr="00ED7E64">
        <w:rPr>
          <w:rFonts w:asciiTheme="minorHAnsi" w:hAnsiTheme="minorHAnsi" w:cstheme="minorHAnsi"/>
          <w:szCs w:val="22"/>
        </w:rPr>
        <w:t>e introduce</w:t>
      </w:r>
      <w:r w:rsidR="00F92C25" w:rsidRPr="00ED7E64">
        <w:rPr>
          <w:rFonts w:asciiTheme="minorHAnsi" w:hAnsiTheme="minorHAnsi" w:cstheme="minorHAnsi"/>
          <w:szCs w:val="22"/>
        </w:rPr>
        <w:t xml:space="preserve">, a continuación, el siguiente </w:t>
      </w:r>
      <w:r w:rsidR="00F92C25" w:rsidRPr="00ED7E64">
        <w:rPr>
          <w:rFonts w:asciiTheme="minorHAnsi" w:hAnsiTheme="minorHAnsi" w:cstheme="minorHAnsi"/>
          <w:i/>
          <w:iCs/>
          <w:szCs w:val="22"/>
        </w:rPr>
        <w:t xml:space="preserve">numerus </w:t>
      </w:r>
      <w:proofErr w:type="spellStart"/>
      <w:r w:rsidR="00F92C25" w:rsidRPr="00ED7E64">
        <w:rPr>
          <w:rFonts w:asciiTheme="minorHAnsi" w:hAnsiTheme="minorHAnsi" w:cstheme="minorHAnsi"/>
          <w:i/>
          <w:iCs/>
          <w:szCs w:val="22"/>
        </w:rPr>
        <w:t>apertus</w:t>
      </w:r>
      <w:proofErr w:type="spellEnd"/>
      <w:r w:rsidR="00F92C25" w:rsidRPr="00ED7E64">
        <w:rPr>
          <w:rFonts w:asciiTheme="minorHAnsi" w:hAnsiTheme="minorHAnsi" w:cstheme="minorHAnsi"/>
          <w:szCs w:val="22"/>
        </w:rPr>
        <w:t xml:space="preserve">: (i) número de operadores activos </w:t>
      </w:r>
      <w:r w:rsidR="00705E8F" w:rsidRPr="00ED7E64">
        <w:rPr>
          <w:rFonts w:asciiTheme="minorHAnsi" w:hAnsiTheme="minorHAnsi" w:cstheme="minorHAnsi"/>
          <w:szCs w:val="22"/>
        </w:rPr>
        <w:t>(</w:t>
      </w:r>
      <w:r w:rsidR="00F92C25" w:rsidRPr="00ED7E64">
        <w:rPr>
          <w:rFonts w:asciiTheme="minorHAnsi" w:hAnsiTheme="minorHAnsi" w:cstheme="minorHAnsi"/>
          <w:szCs w:val="22"/>
        </w:rPr>
        <w:t xml:space="preserve">lo </w:t>
      </w:r>
      <w:r w:rsidR="00705E8F" w:rsidRPr="00ED7E64">
        <w:rPr>
          <w:rFonts w:asciiTheme="minorHAnsi" w:hAnsiTheme="minorHAnsi" w:cstheme="minorHAnsi"/>
          <w:szCs w:val="22"/>
        </w:rPr>
        <w:t>cual</w:t>
      </w:r>
      <w:r w:rsidR="00F92C25" w:rsidRPr="00ED7E64">
        <w:rPr>
          <w:rFonts w:asciiTheme="minorHAnsi" w:hAnsiTheme="minorHAnsi" w:cstheme="minorHAnsi"/>
          <w:szCs w:val="22"/>
        </w:rPr>
        <w:t xml:space="preserve"> determinará la viabilidad de su aplicación y efecto sobre la competencia en el corto y medio plazo</w:t>
      </w:r>
      <w:r w:rsidR="00705E8F" w:rsidRPr="00ED7E64">
        <w:rPr>
          <w:rFonts w:asciiTheme="minorHAnsi" w:hAnsiTheme="minorHAnsi" w:cstheme="minorHAnsi"/>
          <w:szCs w:val="22"/>
        </w:rPr>
        <w:t>)</w:t>
      </w:r>
      <w:r w:rsidR="00F92C25" w:rsidRPr="00ED7E64">
        <w:rPr>
          <w:rFonts w:asciiTheme="minorHAnsi" w:hAnsiTheme="minorHAnsi" w:cstheme="minorHAnsi"/>
          <w:szCs w:val="22"/>
        </w:rPr>
        <w:t>; (</w:t>
      </w:r>
      <w:proofErr w:type="spellStart"/>
      <w:r w:rsidR="00F92C25" w:rsidRPr="00ED7E64">
        <w:rPr>
          <w:rFonts w:asciiTheme="minorHAnsi" w:hAnsiTheme="minorHAnsi" w:cstheme="minorHAnsi"/>
          <w:szCs w:val="22"/>
        </w:rPr>
        <w:t>ii</w:t>
      </w:r>
      <w:proofErr w:type="spellEnd"/>
      <w:r w:rsidR="00F92C25" w:rsidRPr="00ED7E64">
        <w:rPr>
          <w:rFonts w:asciiTheme="minorHAnsi" w:hAnsiTheme="minorHAnsi" w:cstheme="minorHAnsi"/>
          <w:szCs w:val="22"/>
        </w:rPr>
        <w:t>) homogeneidad del producto; (</w:t>
      </w:r>
      <w:proofErr w:type="spellStart"/>
      <w:r w:rsidR="00F92C25" w:rsidRPr="00ED7E64">
        <w:rPr>
          <w:rFonts w:asciiTheme="minorHAnsi" w:hAnsiTheme="minorHAnsi" w:cstheme="minorHAnsi"/>
          <w:szCs w:val="22"/>
        </w:rPr>
        <w:t>iii</w:t>
      </w:r>
      <w:proofErr w:type="spellEnd"/>
      <w:r w:rsidR="00F92C25" w:rsidRPr="00ED7E64">
        <w:rPr>
          <w:rFonts w:asciiTheme="minorHAnsi" w:hAnsiTheme="minorHAnsi" w:cstheme="minorHAnsi"/>
          <w:szCs w:val="22"/>
        </w:rPr>
        <w:t>) transparencia; y (</w:t>
      </w:r>
      <w:proofErr w:type="spellStart"/>
      <w:r w:rsidR="00F92C25" w:rsidRPr="00ED7E64">
        <w:rPr>
          <w:rFonts w:asciiTheme="minorHAnsi" w:hAnsiTheme="minorHAnsi" w:cstheme="minorHAnsi"/>
          <w:szCs w:val="22"/>
        </w:rPr>
        <w:t>iv</w:t>
      </w:r>
      <w:proofErr w:type="spellEnd"/>
      <w:r w:rsidR="00F92C25" w:rsidRPr="00ED7E64">
        <w:rPr>
          <w:rFonts w:asciiTheme="minorHAnsi" w:hAnsiTheme="minorHAnsi" w:cstheme="minorHAnsi"/>
          <w:szCs w:val="22"/>
        </w:rPr>
        <w:t>) existencia de barreras de entrada</w:t>
      </w:r>
      <w:r w:rsidR="00705E8F" w:rsidRPr="00ED7E64">
        <w:rPr>
          <w:rFonts w:asciiTheme="minorHAnsi" w:hAnsiTheme="minorHAnsi" w:cstheme="minorHAnsi"/>
          <w:szCs w:val="22"/>
        </w:rPr>
        <w:t xml:space="preserve"> </w:t>
      </w:r>
      <w:r w:rsidR="00F92C25" w:rsidRPr="00ED7E64">
        <w:rPr>
          <w:rFonts w:asciiTheme="minorHAnsi" w:hAnsiTheme="minorHAnsi" w:cstheme="minorHAnsi"/>
          <w:szCs w:val="22"/>
        </w:rPr>
        <w:t xml:space="preserve">que impidan el acceso de operadores alternativos a los afectados por la prohibición de contratar. </w:t>
      </w:r>
    </w:p>
    <w:p w14:paraId="63CFF464" w14:textId="2BA18AA1" w:rsidR="004B2DFA" w:rsidRPr="00ED7E64" w:rsidRDefault="00896323"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Sin embargo, habría que aclarar con especial detalle cómo cada uno de estos elementos debe </w:t>
      </w:r>
      <w:r w:rsidR="004B700C" w:rsidRPr="00ED7E64">
        <w:rPr>
          <w:rFonts w:asciiTheme="minorHAnsi" w:hAnsiTheme="minorHAnsi" w:cstheme="minorHAnsi"/>
          <w:szCs w:val="22"/>
        </w:rPr>
        <w:t>valorarse,</w:t>
      </w:r>
      <w:r w:rsidRPr="00ED7E64">
        <w:rPr>
          <w:rFonts w:asciiTheme="minorHAnsi" w:hAnsiTheme="minorHAnsi" w:cstheme="minorHAnsi"/>
          <w:szCs w:val="22"/>
        </w:rPr>
        <w:t xml:space="preserve"> así como </w:t>
      </w:r>
      <w:r w:rsidR="004B700C" w:rsidRPr="00ED7E64">
        <w:rPr>
          <w:rFonts w:asciiTheme="minorHAnsi" w:hAnsiTheme="minorHAnsi" w:cstheme="minorHAnsi"/>
          <w:szCs w:val="22"/>
        </w:rPr>
        <w:t xml:space="preserve">cuál es el nivel de importancia que debe darse a cada uno de estos. Por otro lado, resulta conveniente que, con el propósito de aportar una mayor seguridad jurídica, se definiera un </w:t>
      </w:r>
      <w:r w:rsidR="004B700C" w:rsidRPr="00ED7E64">
        <w:rPr>
          <w:rFonts w:asciiTheme="minorHAnsi" w:hAnsiTheme="minorHAnsi" w:cstheme="minorHAnsi"/>
          <w:i/>
          <w:iCs/>
          <w:szCs w:val="22"/>
        </w:rPr>
        <w:t xml:space="preserve">numerus clausus </w:t>
      </w:r>
      <w:r w:rsidR="004B700C" w:rsidRPr="00ED7E64">
        <w:rPr>
          <w:rFonts w:asciiTheme="minorHAnsi" w:hAnsiTheme="minorHAnsi" w:cstheme="minorHAnsi"/>
          <w:szCs w:val="22"/>
        </w:rPr>
        <w:t>de los elementos que la autoridad pued</w:t>
      </w:r>
      <w:r w:rsidR="006B195A" w:rsidRPr="00ED7E64">
        <w:rPr>
          <w:rFonts w:asciiTheme="minorHAnsi" w:hAnsiTheme="minorHAnsi" w:cstheme="minorHAnsi"/>
          <w:szCs w:val="22"/>
        </w:rPr>
        <w:t>a llegar a</w:t>
      </w:r>
      <w:r w:rsidR="004B700C" w:rsidRPr="00ED7E64">
        <w:rPr>
          <w:rFonts w:asciiTheme="minorHAnsi" w:hAnsiTheme="minorHAnsi" w:cstheme="minorHAnsi"/>
          <w:szCs w:val="22"/>
        </w:rPr>
        <w:t xml:space="preserve"> considerar al delimitar el alcance y la duración de la prohibición de contratar.  </w:t>
      </w:r>
    </w:p>
    <w:p w14:paraId="1912EE12" w14:textId="2C7A259E" w:rsidR="001658A6" w:rsidRPr="00ED7E64" w:rsidRDefault="001658A6" w:rsidP="00507C50">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De todas formas, cabe apuntar que</w:t>
      </w:r>
      <w:r w:rsidR="00507C50" w:rsidRPr="00ED7E64">
        <w:rPr>
          <w:rFonts w:asciiTheme="minorHAnsi" w:hAnsiTheme="minorHAnsi" w:cstheme="minorHAnsi"/>
          <w:szCs w:val="22"/>
        </w:rPr>
        <w:t xml:space="preserve">, </w:t>
      </w:r>
      <w:r w:rsidR="00004CC2" w:rsidRPr="00ED7E64">
        <w:rPr>
          <w:rFonts w:asciiTheme="minorHAnsi" w:hAnsiTheme="minorHAnsi" w:cstheme="minorHAnsi"/>
          <w:szCs w:val="22"/>
        </w:rPr>
        <w:t xml:space="preserve">como se ha anticipado, </w:t>
      </w:r>
      <w:r w:rsidR="00507C50" w:rsidRPr="00ED7E64">
        <w:rPr>
          <w:rFonts w:asciiTheme="minorHAnsi" w:hAnsiTheme="minorHAnsi" w:cstheme="minorHAnsi"/>
          <w:szCs w:val="22"/>
        </w:rPr>
        <w:t>en el caso de</w:t>
      </w:r>
      <w:r w:rsidRPr="00ED7E64">
        <w:rPr>
          <w:rFonts w:asciiTheme="minorHAnsi" w:hAnsiTheme="minorHAnsi" w:cstheme="minorHAnsi"/>
          <w:szCs w:val="22"/>
        </w:rPr>
        <w:t xml:space="preserve"> los laboratorios farmacéuticos</w:t>
      </w:r>
      <w:r w:rsidR="00507C50" w:rsidRPr="00ED7E64">
        <w:rPr>
          <w:rFonts w:asciiTheme="minorHAnsi" w:hAnsiTheme="minorHAnsi" w:cstheme="minorHAnsi"/>
          <w:szCs w:val="22"/>
        </w:rPr>
        <w:t>, los medicamentos innovadores financiados</w:t>
      </w:r>
      <w:r w:rsidR="00507C50" w:rsidRPr="00ED7E64">
        <w:rPr>
          <w:rStyle w:val="Refdenotaalpie"/>
          <w:rFonts w:asciiTheme="minorHAnsi" w:hAnsiTheme="minorHAnsi" w:cstheme="minorHAnsi"/>
          <w:szCs w:val="22"/>
        </w:rPr>
        <w:footnoteReference w:id="1"/>
      </w:r>
      <w:r w:rsidR="00507C50" w:rsidRPr="00ED7E64">
        <w:rPr>
          <w:rFonts w:asciiTheme="minorHAnsi" w:hAnsiTheme="minorHAnsi" w:cstheme="minorHAnsi"/>
          <w:szCs w:val="22"/>
        </w:rPr>
        <w:t xml:space="preserve"> carecen de equivalentes terapéuticos en el mercado (su principio activo es exclusivo) y, por consiguiente, no pueden salir del mercado sin generar </w:t>
      </w:r>
      <w:r w:rsidR="00507C50" w:rsidRPr="00ED7E64">
        <w:rPr>
          <w:rFonts w:asciiTheme="minorHAnsi" w:hAnsiTheme="minorHAnsi" w:cstheme="minorHAnsi"/>
          <w:i/>
          <w:iCs/>
          <w:szCs w:val="22"/>
        </w:rPr>
        <w:t>ipso facto</w:t>
      </w:r>
      <w:r w:rsidR="00507C50" w:rsidRPr="00ED7E64">
        <w:rPr>
          <w:rFonts w:asciiTheme="minorHAnsi" w:hAnsiTheme="minorHAnsi" w:cstheme="minorHAnsi"/>
          <w:szCs w:val="22"/>
        </w:rPr>
        <w:t xml:space="preserve"> una laguna terapéutica y, a su vez, una laguna en el Sistema Nacional de Salud. Por tanto, resulta claro que, en este caso, el número de operadores activos</w:t>
      </w:r>
      <w:r w:rsidR="00004CC2" w:rsidRPr="00ED7E64">
        <w:rPr>
          <w:rFonts w:asciiTheme="minorHAnsi" w:hAnsiTheme="minorHAnsi" w:cstheme="minorHAnsi"/>
          <w:szCs w:val="22"/>
        </w:rPr>
        <w:t xml:space="preserve"> en un concreto mercado</w:t>
      </w:r>
      <w:r w:rsidR="00507C50" w:rsidRPr="00ED7E64">
        <w:rPr>
          <w:rFonts w:asciiTheme="minorHAnsi" w:hAnsiTheme="minorHAnsi" w:cstheme="minorHAnsi"/>
          <w:szCs w:val="22"/>
        </w:rPr>
        <w:t xml:space="preserve"> es muy reducido (o incluso único), el producto es muy heterogéneo, hay poca transparencia en dicho mercado y, por último, existen importantes barreras regulatorias que impiden el acceso de operadores alternativos a los afectados por la prohibición de contratar. Por tanto, la estructura de los mercados de producto en los que están presentes los laboratorios farmacéuticos apunta a que el alcance y la duración de la prohibición de contratar debe de ser, en todo caso, cuanto menos, muy reducidos.</w:t>
      </w:r>
    </w:p>
    <w:p w14:paraId="350C033D" w14:textId="4EA6D329" w:rsidR="00D15D3E" w:rsidRPr="00ED7E64" w:rsidRDefault="00345A4A"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La Comunicación sostiene que el ejercicio de valoración de los efectos de la prohibición de contratar conlleva un ejercicio de </w:t>
      </w:r>
      <w:r w:rsidR="00FE4F97" w:rsidRPr="00ED7E64">
        <w:rPr>
          <w:rFonts w:asciiTheme="minorHAnsi" w:hAnsiTheme="minorHAnsi" w:cstheme="minorHAnsi"/>
          <w:szCs w:val="22"/>
        </w:rPr>
        <w:t>particular complejidad por las implicaciones del equilibrio necesario entre la defensa de la competencia como bien último a proteger y la exclusión de competidores en determinadas licitaciones como medida propuesta.</w:t>
      </w:r>
      <w:r w:rsidRPr="00ED7E64">
        <w:rPr>
          <w:rFonts w:asciiTheme="minorHAnsi" w:hAnsiTheme="minorHAnsi" w:cstheme="minorHAnsi"/>
          <w:szCs w:val="22"/>
        </w:rPr>
        <w:t xml:space="preserve"> Así, afirma que l</w:t>
      </w:r>
      <w:r w:rsidR="00FE4F97" w:rsidRPr="00ED7E64">
        <w:rPr>
          <w:rFonts w:asciiTheme="minorHAnsi" w:hAnsiTheme="minorHAnsi" w:cstheme="minorHAnsi"/>
          <w:szCs w:val="22"/>
        </w:rPr>
        <w:t xml:space="preserve">ograr este equilibrio requiere considerar el escenario base (mercado distorsionado por la infracción) y los beneficios del efecto disuasorio a largo plazo. </w:t>
      </w:r>
    </w:p>
    <w:p w14:paraId="3A413B0D" w14:textId="12DDFD97" w:rsidR="006F22A9" w:rsidRPr="00ED7E64" w:rsidRDefault="00D15D3E"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A este respecto,</w:t>
      </w:r>
      <w:r w:rsidR="00195EA8" w:rsidRPr="00ED7E64">
        <w:rPr>
          <w:rFonts w:asciiTheme="minorHAnsi" w:hAnsiTheme="minorHAnsi" w:cstheme="minorHAnsi"/>
          <w:szCs w:val="22"/>
        </w:rPr>
        <w:t xml:space="preserve"> en primer lugar,</w:t>
      </w:r>
      <w:r w:rsidRPr="00ED7E64">
        <w:rPr>
          <w:rFonts w:asciiTheme="minorHAnsi" w:hAnsiTheme="minorHAnsi" w:cstheme="minorHAnsi"/>
          <w:szCs w:val="22"/>
        </w:rPr>
        <w:t xml:space="preserve"> </w:t>
      </w:r>
      <w:r w:rsidR="00F22479" w:rsidRPr="00ED7E64">
        <w:rPr>
          <w:rFonts w:asciiTheme="minorHAnsi" w:hAnsiTheme="minorHAnsi" w:cstheme="minorHAnsi"/>
          <w:szCs w:val="22"/>
        </w:rPr>
        <w:t>debe</w:t>
      </w:r>
      <w:r w:rsidRPr="00ED7E64">
        <w:rPr>
          <w:rFonts w:asciiTheme="minorHAnsi" w:hAnsiTheme="minorHAnsi" w:cstheme="minorHAnsi"/>
          <w:szCs w:val="22"/>
        </w:rPr>
        <w:t xml:space="preserve"> considera</w:t>
      </w:r>
      <w:r w:rsidR="00F22479" w:rsidRPr="00ED7E64">
        <w:rPr>
          <w:rFonts w:asciiTheme="minorHAnsi" w:hAnsiTheme="minorHAnsi" w:cstheme="minorHAnsi"/>
          <w:szCs w:val="22"/>
        </w:rPr>
        <w:t xml:space="preserve">se </w:t>
      </w:r>
      <w:r w:rsidRPr="00ED7E64">
        <w:rPr>
          <w:rFonts w:asciiTheme="minorHAnsi" w:hAnsiTheme="minorHAnsi" w:cstheme="minorHAnsi"/>
          <w:szCs w:val="22"/>
        </w:rPr>
        <w:t xml:space="preserve">el </w:t>
      </w:r>
      <w:r w:rsidR="00F22479" w:rsidRPr="00ED7E64">
        <w:rPr>
          <w:rFonts w:asciiTheme="minorHAnsi" w:hAnsiTheme="minorHAnsi" w:cstheme="minorHAnsi"/>
          <w:b/>
          <w:bCs/>
          <w:szCs w:val="22"/>
        </w:rPr>
        <w:t xml:space="preserve">concreto </w:t>
      </w:r>
      <w:r w:rsidRPr="00ED7E64">
        <w:rPr>
          <w:rFonts w:asciiTheme="minorHAnsi" w:hAnsiTheme="minorHAnsi" w:cstheme="minorHAnsi"/>
          <w:b/>
          <w:bCs/>
          <w:szCs w:val="22"/>
        </w:rPr>
        <w:t>mercado distorsionado por la infracción</w:t>
      </w:r>
      <w:r w:rsidR="006F22A9" w:rsidRPr="00ED7E64">
        <w:rPr>
          <w:rFonts w:asciiTheme="minorHAnsi" w:hAnsiTheme="minorHAnsi" w:cstheme="minorHAnsi"/>
          <w:szCs w:val="22"/>
        </w:rPr>
        <w:t>, en particular (i) qué territorio y qué órgano licitador se ha visto afectado por la infracción; y (</w:t>
      </w:r>
      <w:proofErr w:type="spellStart"/>
      <w:r w:rsidR="006F22A9" w:rsidRPr="00ED7E64">
        <w:rPr>
          <w:rFonts w:asciiTheme="minorHAnsi" w:hAnsiTheme="minorHAnsi" w:cstheme="minorHAnsi"/>
          <w:szCs w:val="22"/>
        </w:rPr>
        <w:t>ii</w:t>
      </w:r>
      <w:proofErr w:type="spellEnd"/>
      <w:r w:rsidR="006F22A9" w:rsidRPr="00ED7E64">
        <w:rPr>
          <w:rFonts w:asciiTheme="minorHAnsi" w:hAnsiTheme="minorHAnsi" w:cstheme="minorHAnsi"/>
          <w:szCs w:val="22"/>
        </w:rPr>
        <w:t>) en qué ámbito, esto es, qué producto y/o servicio</w:t>
      </w:r>
      <w:r w:rsidR="00C455B5" w:rsidRPr="00ED7E64">
        <w:rPr>
          <w:rFonts w:asciiTheme="minorHAnsi" w:hAnsiTheme="minorHAnsi" w:cstheme="minorHAnsi"/>
          <w:szCs w:val="22"/>
        </w:rPr>
        <w:t xml:space="preserve"> ha sido objeto de la infracción</w:t>
      </w:r>
      <w:r w:rsidR="006F22A9" w:rsidRPr="00ED7E64">
        <w:rPr>
          <w:rFonts w:asciiTheme="minorHAnsi" w:hAnsiTheme="minorHAnsi" w:cstheme="minorHAnsi"/>
          <w:szCs w:val="22"/>
        </w:rPr>
        <w:t>.</w:t>
      </w:r>
    </w:p>
    <w:p w14:paraId="312227E4" w14:textId="3A58E2FF" w:rsidR="00351AA1" w:rsidRPr="00ED7E64" w:rsidRDefault="003C400D"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Por un lado, e</w:t>
      </w:r>
      <w:r w:rsidR="006F22A9" w:rsidRPr="00ED7E64">
        <w:rPr>
          <w:rFonts w:asciiTheme="minorHAnsi" w:hAnsiTheme="minorHAnsi" w:cstheme="minorHAnsi"/>
          <w:szCs w:val="22"/>
        </w:rPr>
        <w:t>n relación con l</w:t>
      </w:r>
      <w:r w:rsidR="00D818EB" w:rsidRPr="00ED7E64">
        <w:rPr>
          <w:rFonts w:asciiTheme="minorHAnsi" w:hAnsiTheme="minorHAnsi" w:cstheme="minorHAnsi"/>
          <w:szCs w:val="22"/>
        </w:rPr>
        <w:t>a delimitación del</w:t>
      </w:r>
      <w:r w:rsidR="006F22A9" w:rsidRPr="00ED7E64">
        <w:rPr>
          <w:rFonts w:asciiTheme="minorHAnsi" w:hAnsiTheme="minorHAnsi" w:cstheme="minorHAnsi"/>
          <w:szCs w:val="22"/>
        </w:rPr>
        <w:t xml:space="preserve"> </w:t>
      </w:r>
      <w:r w:rsidR="006F22A9" w:rsidRPr="00ED7E64">
        <w:rPr>
          <w:rFonts w:asciiTheme="minorHAnsi" w:hAnsiTheme="minorHAnsi" w:cstheme="minorHAnsi"/>
          <w:b/>
          <w:bCs/>
          <w:szCs w:val="22"/>
        </w:rPr>
        <w:t>territorio</w:t>
      </w:r>
      <w:r w:rsidR="00D818EB" w:rsidRPr="00ED7E64">
        <w:rPr>
          <w:rFonts w:asciiTheme="minorHAnsi" w:hAnsiTheme="minorHAnsi" w:cstheme="minorHAnsi"/>
          <w:b/>
          <w:bCs/>
          <w:szCs w:val="22"/>
        </w:rPr>
        <w:t xml:space="preserve"> y el órgano licitador</w:t>
      </w:r>
      <w:r w:rsidR="006F22A9" w:rsidRPr="00ED7E64">
        <w:rPr>
          <w:rFonts w:asciiTheme="minorHAnsi" w:hAnsiTheme="minorHAnsi" w:cstheme="minorHAnsi"/>
          <w:szCs w:val="22"/>
        </w:rPr>
        <w:t xml:space="preserve"> afectado</w:t>
      </w:r>
      <w:r w:rsidRPr="00ED7E64">
        <w:rPr>
          <w:rFonts w:asciiTheme="minorHAnsi" w:hAnsiTheme="minorHAnsi" w:cstheme="minorHAnsi"/>
          <w:szCs w:val="22"/>
        </w:rPr>
        <w:t>s</w:t>
      </w:r>
      <w:r w:rsidR="00D818EB" w:rsidRPr="00ED7E64">
        <w:rPr>
          <w:rFonts w:asciiTheme="minorHAnsi" w:hAnsiTheme="minorHAnsi" w:cstheme="minorHAnsi"/>
          <w:szCs w:val="22"/>
        </w:rPr>
        <w:t>, est</w:t>
      </w:r>
      <w:r w:rsidRPr="00ED7E64">
        <w:rPr>
          <w:rFonts w:asciiTheme="minorHAnsi" w:hAnsiTheme="minorHAnsi" w:cstheme="minorHAnsi"/>
          <w:szCs w:val="22"/>
        </w:rPr>
        <w:t>os</w:t>
      </w:r>
      <w:r w:rsidR="00D818EB" w:rsidRPr="00ED7E64">
        <w:rPr>
          <w:rFonts w:asciiTheme="minorHAnsi" w:hAnsiTheme="minorHAnsi" w:cstheme="minorHAnsi"/>
          <w:szCs w:val="22"/>
        </w:rPr>
        <w:t xml:space="preserve"> debe</w:t>
      </w:r>
      <w:r w:rsidRPr="00ED7E64">
        <w:rPr>
          <w:rFonts w:asciiTheme="minorHAnsi" w:hAnsiTheme="minorHAnsi" w:cstheme="minorHAnsi"/>
          <w:szCs w:val="22"/>
        </w:rPr>
        <w:t>n</w:t>
      </w:r>
      <w:r w:rsidR="00D818EB" w:rsidRPr="00ED7E64">
        <w:rPr>
          <w:rFonts w:asciiTheme="minorHAnsi" w:hAnsiTheme="minorHAnsi" w:cstheme="minorHAnsi"/>
          <w:szCs w:val="22"/>
        </w:rPr>
        <w:t xml:space="preserve"> fijarse en atención al principio de proporcionalidad, el cual rige la aplicación de cualquier sanción administrativa. A modo de ejemplo, si se ha producido una infracción </w:t>
      </w:r>
      <w:r w:rsidR="0038656E" w:rsidRPr="00ED7E64">
        <w:rPr>
          <w:rFonts w:asciiTheme="minorHAnsi" w:hAnsiTheme="minorHAnsi" w:cstheme="minorHAnsi"/>
          <w:szCs w:val="22"/>
        </w:rPr>
        <w:t>de derecho de la competencia cuya entidad adjudicadora es un organismo dependiente de la Generalitat de Cataluña y sus efectos se han producido exclusivamente en la ciudad de Barcelona, en aplicación del principio de proporcionalidad, la autoridad tendrá que considerar, al aplicar una eventual prohibición de contratar, que dicha sanción debe aplicarse, en todo caso, como máximo a las licitaciones promovidas por el concreto organismo dependiente de la Generalitat de Cataluña y, asimismo, únicamente en aquellas que produzcan efectos en Barcelona.</w:t>
      </w:r>
    </w:p>
    <w:p w14:paraId="25FF1061" w14:textId="3C3345D4" w:rsidR="00E2674C" w:rsidRPr="00ED7E64" w:rsidRDefault="0038656E"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Por otro lado, </w:t>
      </w:r>
      <w:r w:rsidR="00F22479" w:rsidRPr="00ED7E64">
        <w:rPr>
          <w:rFonts w:asciiTheme="minorHAnsi" w:hAnsiTheme="minorHAnsi" w:cstheme="minorHAnsi"/>
          <w:szCs w:val="22"/>
        </w:rPr>
        <w:t xml:space="preserve">tal y como se ha anticipado, debe considerase el </w:t>
      </w:r>
      <w:r w:rsidR="00F22479" w:rsidRPr="00ED7E64">
        <w:rPr>
          <w:rFonts w:asciiTheme="minorHAnsi" w:hAnsiTheme="minorHAnsi" w:cstheme="minorHAnsi"/>
          <w:b/>
          <w:bCs/>
          <w:szCs w:val="22"/>
        </w:rPr>
        <w:t>ámbito</w:t>
      </w:r>
      <w:r w:rsidR="00F22479" w:rsidRPr="00ED7E64">
        <w:rPr>
          <w:rFonts w:asciiTheme="minorHAnsi" w:hAnsiTheme="minorHAnsi" w:cstheme="minorHAnsi"/>
          <w:szCs w:val="22"/>
        </w:rPr>
        <w:t xml:space="preserve"> afectado por la infracción, esto es, qué producto y/o servicio</w:t>
      </w:r>
      <w:r w:rsidR="001B1653" w:rsidRPr="00ED7E64">
        <w:rPr>
          <w:rFonts w:asciiTheme="minorHAnsi" w:hAnsiTheme="minorHAnsi" w:cstheme="minorHAnsi"/>
          <w:szCs w:val="22"/>
        </w:rPr>
        <w:t xml:space="preserve"> ha resultado impactado por la conducta infractora, en aplicación</w:t>
      </w:r>
      <w:r w:rsidR="002952B3" w:rsidRPr="00ED7E64">
        <w:rPr>
          <w:rFonts w:asciiTheme="minorHAnsi" w:hAnsiTheme="minorHAnsi" w:cstheme="minorHAnsi"/>
          <w:szCs w:val="22"/>
        </w:rPr>
        <w:t>, de nuevo,</w:t>
      </w:r>
      <w:r w:rsidR="001B1653" w:rsidRPr="00ED7E64">
        <w:rPr>
          <w:rFonts w:asciiTheme="minorHAnsi" w:hAnsiTheme="minorHAnsi" w:cstheme="minorHAnsi"/>
          <w:szCs w:val="22"/>
        </w:rPr>
        <w:t xml:space="preserve"> del principio de proporcionalidad.</w:t>
      </w:r>
      <w:r w:rsidR="00E2674C" w:rsidRPr="00ED7E64">
        <w:rPr>
          <w:rFonts w:asciiTheme="minorHAnsi" w:hAnsiTheme="minorHAnsi" w:cstheme="minorHAnsi"/>
          <w:szCs w:val="22"/>
        </w:rPr>
        <w:t xml:space="preserve"> </w:t>
      </w:r>
      <w:r w:rsidR="00E2674C" w:rsidRPr="00ED7E64">
        <w:rPr>
          <w:rFonts w:asciiTheme="minorHAnsi" w:hAnsiTheme="minorHAnsi" w:cstheme="minorHAnsi"/>
          <w:i/>
          <w:iCs/>
          <w:szCs w:val="22"/>
        </w:rPr>
        <w:t>Verbi gratia</w:t>
      </w:r>
      <w:r w:rsidR="00E2674C" w:rsidRPr="00ED7E64">
        <w:rPr>
          <w:rFonts w:asciiTheme="minorHAnsi" w:hAnsiTheme="minorHAnsi" w:cstheme="minorHAnsi"/>
          <w:szCs w:val="22"/>
        </w:rPr>
        <w:t xml:space="preserve">, si una determinada infracción se produce en la actividad </w:t>
      </w:r>
      <w:r w:rsidR="00610C79" w:rsidRPr="00ED7E64">
        <w:rPr>
          <w:rFonts w:asciiTheme="minorHAnsi" w:hAnsiTheme="minorHAnsi" w:cstheme="minorHAnsi"/>
          <w:szCs w:val="22"/>
        </w:rPr>
        <w:t>de</w:t>
      </w:r>
      <w:r w:rsidR="00E2674C" w:rsidRPr="00ED7E64">
        <w:rPr>
          <w:rFonts w:asciiTheme="minorHAnsi" w:hAnsiTheme="minorHAnsi" w:cstheme="minorHAnsi"/>
          <w:szCs w:val="22"/>
        </w:rPr>
        <w:t xml:space="preserve"> intervención arqueológica de limpieza, la correspondiente prohibición de contratar deberá imponerse exclusivamente a dicha actividad.</w:t>
      </w:r>
    </w:p>
    <w:p w14:paraId="2BB26FAE" w14:textId="3EA3D178" w:rsidR="00A91B12" w:rsidRPr="00ED7E64" w:rsidRDefault="00957266" w:rsidP="00F442E5">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Es un hecho notorio </w:t>
      </w:r>
      <w:r w:rsidR="00F442E5" w:rsidRPr="00ED7E64">
        <w:rPr>
          <w:rFonts w:asciiTheme="minorHAnsi" w:hAnsiTheme="minorHAnsi" w:cstheme="minorHAnsi"/>
          <w:szCs w:val="22"/>
        </w:rPr>
        <w:t>que,</w:t>
      </w:r>
      <w:r w:rsidRPr="00ED7E64">
        <w:rPr>
          <w:rFonts w:asciiTheme="minorHAnsi" w:hAnsiTheme="minorHAnsi" w:cstheme="minorHAnsi"/>
          <w:szCs w:val="22"/>
        </w:rPr>
        <w:t xml:space="preserve"> </w:t>
      </w:r>
      <w:r w:rsidR="00CD5DEA" w:rsidRPr="00ED7E64">
        <w:rPr>
          <w:rFonts w:asciiTheme="minorHAnsi" w:hAnsiTheme="minorHAnsi" w:cstheme="minorHAnsi"/>
          <w:szCs w:val="22"/>
        </w:rPr>
        <w:t xml:space="preserve">si </w:t>
      </w:r>
      <w:r w:rsidR="00F442E5" w:rsidRPr="00ED7E64">
        <w:rPr>
          <w:rFonts w:asciiTheme="minorHAnsi" w:hAnsiTheme="minorHAnsi" w:cstheme="minorHAnsi"/>
          <w:szCs w:val="22"/>
        </w:rPr>
        <w:t>es</w:t>
      </w:r>
      <w:r w:rsidR="00CD5DEA" w:rsidRPr="00ED7E64">
        <w:rPr>
          <w:rFonts w:asciiTheme="minorHAnsi" w:hAnsiTheme="minorHAnsi" w:cstheme="minorHAnsi"/>
          <w:szCs w:val="22"/>
        </w:rPr>
        <w:t xml:space="preserve"> fundamental determinar el concreto ámbito afectado por la infracción en cualquier sector de la actividad económica, más </w:t>
      </w:r>
      <w:r w:rsidR="00F442E5" w:rsidRPr="00ED7E64">
        <w:rPr>
          <w:rFonts w:asciiTheme="minorHAnsi" w:hAnsiTheme="minorHAnsi" w:cstheme="minorHAnsi"/>
          <w:szCs w:val="22"/>
        </w:rPr>
        <w:t>crucial es todavía</w:t>
      </w:r>
      <w:r w:rsidR="00CD5DEA" w:rsidRPr="00ED7E64">
        <w:rPr>
          <w:rFonts w:asciiTheme="minorHAnsi" w:hAnsiTheme="minorHAnsi" w:cstheme="minorHAnsi"/>
          <w:szCs w:val="22"/>
        </w:rPr>
        <w:t xml:space="preserve"> en el </w:t>
      </w:r>
      <w:r w:rsidR="007E2FC6" w:rsidRPr="00ED7E64">
        <w:rPr>
          <w:rFonts w:asciiTheme="minorHAnsi" w:hAnsiTheme="minorHAnsi" w:cstheme="minorHAnsi"/>
          <w:szCs w:val="22"/>
        </w:rPr>
        <w:t>sector farmacéutico puesto que</w:t>
      </w:r>
      <w:r w:rsidR="00CD5DEA" w:rsidRPr="00ED7E64">
        <w:rPr>
          <w:rFonts w:asciiTheme="minorHAnsi" w:hAnsiTheme="minorHAnsi" w:cstheme="minorHAnsi"/>
          <w:szCs w:val="22"/>
        </w:rPr>
        <w:t>, como se ha anticipado,</w:t>
      </w:r>
      <w:r w:rsidR="00F442E5" w:rsidRPr="00ED7E64">
        <w:rPr>
          <w:rFonts w:asciiTheme="minorHAnsi" w:hAnsiTheme="minorHAnsi" w:cstheme="minorHAnsi"/>
          <w:szCs w:val="22"/>
        </w:rPr>
        <w:t xml:space="preserve"> muchos de los medicamentos que </w:t>
      </w:r>
      <w:r w:rsidR="007E2FC6" w:rsidRPr="00ED7E64">
        <w:rPr>
          <w:rFonts w:asciiTheme="minorHAnsi" w:hAnsiTheme="minorHAnsi" w:cstheme="minorHAnsi"/>
          <w:szCs w:val="22"/>
        </w:rPr>
        <w:t xml:space="preserve">los laboratorios </w:t>
      </w:r>
      <w:r w:rsidR="00F442E5" w:rsidRPr="00ED7E64">
        <w:rPr>
          <w:rFonts w:asciiTheme="minorHAnsi" w:hAnsiTheme="minorHAnsi" w:cstheme="minorHAnsi"/>
          <w:szCs w:val="22"/>
        </w:rPr>
        <w:t>suministran a los hospitales públicos son para tratar graves enfermedades</w:t>
      </w:r>
      <w:r w:rsidR="00C6398F" w:rsidRPr="00ED7E64">
        <w:rPr>
          <w:rFonts w:asciiTheme="minorHAnsi" w:hAnsiTheme="minorHAnsi" w:cstheme="minorHAnsi"/>
          <w:szCs w:val="22"/>
        </w:rPr>
        <w:t>.</w:t>
      </w:r>
    </w:p>
    <w:p w14:paraId="7999285A" w14:textId="77777777" w:rsidR="00911F13" w:rsidRPr="00ED7E64" w:rsidRDefault="00A91B12" w:rsidP="00A91B12">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Además, </w:t>
      </w:r>
      <w:r w:rsidR="00911F13" w:rsidRPr="00ED7E64">
        <w:rPr>
          <w:rFonts w:asciiTheme="minorHAnsi" w:hAnsiTheme="minorHAnsi" w:cstheme="minorHAnsi"/>
          <w:szCs w:val="22"/>
        </w:rPr>
        <w:t>estos medicamentos son</w:t>
      </w:r>
      <w:r w:rsidRPr="00ED7E64">
        <w:rPr>
          <w:rFonts w:asciiTheme="minorHAnsi" w:hAnsiTheme="minorHAnsi" w:cstheme="minorHAnsi"/>
          <w:szCs w:val="22"/>
        </w:rPr>
        <w:t xml:space="preserve"> </w:t>
      </w:r>
      <w:r w:rsidR="00F442E5" w:rsidRPr="00ED7E64">
        <w:rPr>
          <w:rFonts w:asciiTheme="minorHAnsi" w:hAnsiTheme="minorHAnsi" w:cstheme="minorHAnsi"/>
          <w:szCs w:val="22"/>
        </w:rPr>
        <w:t>productos únicos e irremplazables por otros tratamientos</w:t>
      </w:r>
      <w:r w:rsidRPr="00ED7E64">
        <w:rPr>
          <w:rFonts w:asciiTheme="minorHAnsi" w:hAnsiTheme="minorHAnsi" w:cstheme="minorHAnsi"/>
          <w:szCs w:val="22"/>
        </w:rPr>
        <w:t>, por lo que son claramente diferenciables, característica que permite delimitar claramente qué productos podrían llegar a ser objeto de una</w:t>
      </w:r>
      <w:r w:rsidR="00911F13" w:rsidRPr="00ED7E64">
        <w:rPr>
          <w:rFonts w:asciiTheme="minorHAnsi" w:hAnsiTheme="minorHAnsi" w:cstheme="minorHAnsi"/>
          <w:szCs w:val="22"/>
        </w:rPr>
        <w:t xml:space="preserve"> determinada</w:t>
      </w:r>
      <w:r w:rsidRPr="00ED7E64">
        <w:rPr>
          <w:rFonts w:asciiTheme="minorHAnsi" w:hAnsiTheme="minorHAnsi" w:cstheme="minorHAnsi"/>
          <w:szCs w:val="22"/>
        </w:rPr>
        <w:t xml:space="preserve"> prohibición de contratar</w:t>
      </w:r>
      <w:r w:rsidR="00F442E5" w:rsidRPr="00ED7E64">
        <w:rPr>
          <w:rFonts w:asciiTheme="minorHAnsi" w:hAnsiTheme="minorHAnsi" w:cstheme="minorHAnsi"/>
          <w:szCs w:val="22"/>
        </w:rPr>
        <w:t>.</w:t>
      </w:r>
      <w:r w:rsidRPr="00ED7E64">
        <w:rPr>
          <w:rFonts w:asciiTheme="minorHAnsi" w:hAnsiTheme="minorHAnsi" w:cstheme="minorHAnsi"/>
          <w:szCs w:val="22"/>
        </w:rPr>
        <w:t xml:space="preserve"> </w:t>
      </w:r>
    </w:p>
    <w:p w14:paraId="6456C42C" w14:textId="03ADFFBB" w:rsidR="00A91B12" w:rsidRPr="00ED7E64" w:rsidRDefault="00A91B12" w:rsidP="00A91B12">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Sin embargo, debe tenerse presente que los productos en cuestión son medicamentos, por lo que la aplicación de la referida sanción implicaría una frontal e injustificada lesión del derecho constitucional a la salud de los ciudadanos y del adecuado funcionamiento del Sistema Nacional de Salud.</w:t>
      </w:r>
    </w:p>
    <w:p w14:paraId="1246C8AD" w14:textId="67A201C2" w:rsidR="00006F93" w:rsidRPr="00ED7E64" w:rsidRDefault="00314FF0" w:rsidP="00DB48E7">
      <w:pPr>
        <w:pStyle w:val="BPLLprrafonumerado"/>
        <w:numPr>
          <w:ilvl w:val="0"/>
          <w:numId w:val="50"/>
        </w:numPr>
        <w:ind w:left="709" w:hanging="709"/>
        <w:rPr>
          <w:rFonts w:asciiTheme="minorHAnsi" w:hAnsiTheme="minorHAnsi" w:cstheme="minorHAnsi"/>
          <w:szCs w:val="22"/>
        </w:rPr>
      </w:pPr>
      <w:bookmarkStart w:id="0" w:name="_Hlk122369297"/>
      <w:r w:rsidRPr="00ED7E64">
        <w:rPr>
          <w:rFonts w:asciiTheme="minorHAnsi" w:hAnsiTheme="minorHAnsi" w:cstheme="minorHAnsi"/>
          <w:szCs w:val="22"/>
        </w:rPr>
        <w:t>Por otro lado</w:t>
      </w:r>
      <w:r w:rsidR="009749A4" w:rsidRPr="00ED7E64">
        <w:rPr>
          <w:rFonts w:asciiTheme="minorHAnsi" w:hAnsiTheme="minorHAnsi" w:cstheme="minorHAnsi"/>
          <w:szCs w:val="22"/>
        </w:rPr>
        <w:t>, l</w:t>
      </w:r>
      <w:r w:rsidR="009947A6" w:rsidRPr="00ED7E64">
        <w:rPr>
          <w:rFonts w:asciiTheme="minorHAnsi" w:hAnsiTheme="minorHAnsi" w:cstheme="minorHAnsi"/>
          <w:szCs w:val="22"/>
        </w:rPr>
        <w:t xml:space="preserve">a Comunicación señala que </w:t>
      </w:r>
      <w:r w:rsidR="00CE4559" w:rsidRPr="00ED7E64">
        <w:rPr>
          <w:rFonts w:asciiTheme="minorHAnsi" w:hAnsiTheme="minorHAnsi" w:cstheme="minorHAnsi"/>
          <w:szCs w:val="22"/>
        </w:rPr>
        <w:t>«</w:t>
      </w:r>
      <w:r w:rsidR="00CE4559" w:rsidRPr="00ED7E64">
        <w:rPr>
          <w:rFonts w:asciiTheme="minorHAnsi" w:hAnsiTheme="minorHAnsi" w:cstheme="minorHAnsi"/>
          <w:i/>
          <w:iCs/>
          <w:szCs w:val="22"/>
        </w:rPr>
        <w:t xml:space="preserve">si bien los productos afectados por la infracción deberían estar en principio comprendidos en la prohibición de contratar </w:t>
      </w:r>
      <w:r w:rsidR="00CE4559" w:rsidRPr="00ED7E64">
        <w:rPr>
          <w:rFonts w:asciiTheme="minorHAnsi" w:hAnsiTheme="minorHAnsi" w:cstheme="minorHAnsi"/>
          <w:i/>
          <w:iCs/>
          <w:szCs w:val="22"/>
          <w:u w:val="single"/>
        </w:rPr>
        <w:t>no cabría descartar también otros que puedan ser contratados por la administración con las entidades jurídicas del mismo grupo implicadas activamente en la conducta</w:t>
      </w:r>
      <w:r w:rsidR="00CE4559" w:rsidRPr="00ED7E64">
        <w:rPr>
          <w:rFonts w:asciiTheme="minorHAnsi" w:hAnsiTheme="minorHAnsi" w:cstheme="minorHAnsi"/>
          <w:i/>
          <w:iCs/>
          <w:szCs w:val="22"/>
        </w:rPr>
        <w:t>, incluidas las matrices</w:t>
      </w:r>
      <w:r w:rsidR="00CE4559" w:rsidRPr="00ED7E64">
        <w:rPr>
          <w:rFonts w:asciiTheme="minorHAnsi" w:hAnsiTheme="minorHAnsi" w:cstheme="minorHAnsi"/>
          <w:szCs w:val="22"/>
        </w:rPr>
        <w:t>»</w:t>
      </w:r>
      <w:r w:rsidR="009749A4" w:rsidRPr="00ED7E64">
        <w:rPr>
          <w:rFonts w:asciiTheme="minorHAnsi" w:hAnsiTheme="minorHAnsi" w:cstheme="minorHAnsi"/>
          <w:szCs w:val="22"/>
        </w:rPr>
        <w:t xml:space="preserve"> [énfasis añadido]</w:t>
      </w:r>
      <w:r w:rsidR="00FC313E" w:rsidRPr="00ED7E64">
        <w:rPr>
          <w:rFonts w:asciiTheme="minorHAnsi" w:hAnsiTheme="minorHAnsi" w:cstheme="minorHAnsi"/>
          <w:szCs w:val="22"/>
        </w:rPr>
        <w:t>.</w:t>
      </w:r>
    </w:p>
    <w:bookmarkEnd w:id="0"/>
    <w:p w14:paraId="721918B9" w14:textId="490F4BCA" w:rsidR="00006F93" w:rsidRPr="00ED7E64" w:rsidRDefault="00FC313E"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A este respecto, puesto que ello es claramente una extensión del alcance de la prohibición de contratar, resulta exigible que la CNMC acote en qué casos </w:t>
      </w:r>
      <w:r w:rsidR="004F002F" w:rsidRPr="00ED7E64">
        <w:rPr>
          <w:rFonts w:asciiTheme="minorHAnsi" w:hAnsiTheme="minorHAnsi" w:cstheme="minorHAnsi"/>
          <w:szCs w:val="22"/>
        </w:rPr>
        <w:t>se considerará tal ampliación del alcance de la prohibición de contratar</w:t>
      </w:r>
      <w:r w:rsidRPr="00ED7E64">
        <w:rPr>
          <w:rFonts w:asciiTheme="minorHAnsi" w:hAnsiTheme="minorHAnsi" w:cstheme="minorHAnsi"/>
          <w:szCs w:val="22"/>
        </w:rPr>
        <w:t xml:space="preserve"> y</w:t>
      </w:r>
      <w:r w:rsidR="004F002F" w:rsidRPr="00ED7E64">
        <w:rPr>
          <w:rFonts w:asciiTheme="minorHAnsi" w:hAnsiTheme="minorHAnsi" w:cstheme="minorHAnsi"/>
          <w:szCs w:val="22"/>
        </w:rPr>
        <w:t>, en este sentido,</w:t>
      </w:r>
      <w:r w:rsidRPr="00ED7E64">
        <w:rPr>
          <w:rFonts w:asciiTheme="minorHAnsi" w:hAnsiTheme="minorHAnsi" w:cstheme="minorHAnsi"/>
          <w:szCs w:val="22"/>
        </w:rPr>
        <w:t xml:space="preserve"> qué </w:t>
      </w:r>
      <w:r w:rsidR="004F002F" w:rsidRPr="00ED7E64">
        <w:rPr>
          <w:rFonts w:asciiTheme="minorHAnsi" w:hAnsiTheme="minorHAnsi" w:cstheme="minorHAnsi"/>
          <w:szCs w:val="22"/>
        </w:rPr>
        <w:t xml:space="preserve">similitud o </w:t>
      </w:r>
      <w:r w:rsidRPr="00ED7E64">
        <w:rPr>
          <w:rFonts w:asciiTheme="minorHAnsi" w:hAnsiTheme="minorHAnsi" w:cstheme="minorHAnsi"/>
          <w:szCs w:val="22"/>
        </w:rPr>
        <w:t xml:space="preserve">vinculación debe requerirse entre el producto objeto de la conducta infractora y los </w:t>
      </w:r>
      <w:r w:rsidR="004F002F" w:rsidRPr="00ED7E64">
        <w:rPr>
          <w:rFonts w:asciiTheme="minorHAnsi" w:hAnsiTheme="minorHAnsi" w:cstheme="minorHAnsi"/>
          <w:szCs w:val="22"/>
        </w:rPr>
        <w:t xml:space="preserve">referidos </w:t>
      </w:r>
      <w:r w:rsidRPr="00ED7E64">
        <w:rPr>
          <w:rFonts w:asciiTheme="minorHAnsi" w:hAnsiTheme="minorHAnsi" w:cstheme="minorHAnsi"/>
          <w:szCs w:val="22"/>
        </w:rPr>
        <w:t xml:space="preserve">productos </w:t>
      </w:r>
      <w:r w:rsidR="004F002F" w:rsidRPr="00ED7E64">
        <w:rPr>
          <w:rFonts w:asciiTheme="minorHAnsi" w:hAnsiTheme="minorHAnsi" w:cstheme="minorHAnsi"/>
          <w:szCs w:val="22"/>
        </w:rPr>
        <w:t>de</w:t>
      </w:r>
      <w:r w:rsidRPr="00ED7E64">
        <w:rPr>
          <w:rFonts w:asciiTheme="minorHAnsi" w:hAnsiTheme="minorHAnsi" w:cstheme="minorHAnsi"/>
          <w:szCs w:val="22"/>
        </w:rPr>
        <w:t xml:space="preserve"> entidades jurídicas del mismo grupo.</w:t>
      </w:r>
    </w:p>
    <w:p w14:paraId="30C493D1" w14:textId="55A8DA48" w:rsidR="00CE4559" w:rsidRPr="00ED7E64" w:rsidRDefault="00F47FB7"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A este respecto</w:t>
      </w:r>
      <w:r w:rsidR="000734BC" w:rsidRPr="00ED7E64">
        <w:rPr>
          <w:rFonts w:asciiTheme="minorHAnsi" w:hAnsiTheme="minorHAnsi" w:cstheme="minorHAnsi"/>
          <w:szCs w:val="22"/>
        </w:rPr>
        <w:t>, el Tribunal de Justicia de la Unión Europea (“</w:t>
      </w:r>
      <w:r w:rsidR="000734BC" w:rsidRPr="00ED7E64">
        <w:rPr>
          <w:rFonts w:asciiTheme="minorHAnsi" w:hAnsiTheme="minorHAnsi" w:cstheme="minorHAnsi"/>
          <w:b/>
          <w:bCs/>
          <w:szCs w:val="22"/>
        </w:rPr>
        <w:t>TJUE</w:t>
      </w:r>
      <w:r w:rsidR="000734BC" w:rsidRPr="00ED7E64">
        <w:rPr>
          <w:rFonts w:asciiTheme="minorHAnsi" w:hAnsiTheme="minorHAnsi" w:cstheme="minorHAnsi"/>
          <w:szCs w:val="22"/>
        </w:rPr>
        <w:t xml:space="preserve">”) en la sentencia </w:t>
      </w:r>
      <w:proofErr w:type="spellStart"/>
      <w:r w:rsidR="000734BC" w:rsidRPr="00ED7E64">
        <w:rPr>
          <w:rFonts w:asciiTheme="minorHAnsi" w:hAnsiTheme="minorHAnsi" w:cstheme="minorHAnsi"/>
          <w:i/>
          <w:iCs/>
          <w:szCs w:val="22"/>
        </w:rPr>
        <w:t>Sumal</w:t>
      </w:r>
      <w:proofErr w:type="spellEnd"/>
      <w:r w:rsidR="000734BC" w:rsidRPr="00ED7E64">
        <w:rPr>
          <w:rStyle w:val="Refdenotaalpie"/>
          <w:rFonts w:asciiTheme="minorHAnsi" w:hAnsiTheme="minorHAnsi" w:cstheme="minorHAnsi"/>
          <w:szCs w:val="22"/>
        </w:rPr>
        <w:footnoteReference w:id="2"/>
      </w:r>
      <w:r w:rsidR="000734BC" w:rsidRPr="00ED7E64">
        <w:rPr>
          <w:rFonts w:asciiTheme="minorHAnsi" w:hAnsiTheme="minorHAnsi" w:cstheme="minorHAnsi"/>
          <w:szCs w:val="22"/>
        </w:rPr>
        <w:t>, C-882/19 (EU:C:2021:800) estableció que el comportamiento de una filial puede imputarse a la sociedad matriz únicamente (i) cuando la sociedad filial no determine de manera autónoma su comportamiento en el mercado, sino que aplique las instrucciones que le imparte la sociedad matriz; y, cumulativamente (</w:t>
      </w:r>
      <w:proofErr w:type="spellStart"/>
      <w:r w:rsidR="000734BC" w:rsidRPr="00ED7E64">
        <w:rPr>
          <w:rFonts w:asciiTheme="minorHAnsi" w:hAnsiTheme="minorHAnsi" w:cstheme="minorHAnsi"/>
          <w:szCs w:val="22"/>
        </w:rPr>
        <w:t>ii</w:t>
      </w:r>
      <w:proofErr w:type="spellEnd"/>
      <w:r w:rsidR="000734BC" w:rsidRPr="00ED7E64">
        <w:rPr>
          <w:rFonts w:asciiTheme="minorHAnsi" w:hAnsiTheme="minorHAnsi" w:cstheme="minorHAnsi"/>
          <w:szCs w:val="22"/>
        </w:rPr>
        <w:t xml:space="preserve">) </w:t>
      </w:r>
      <w:r w:rsidR="00CE4559" w:rsidRPr="00ED7E64">
        <w:rPr>
          <w:rFonts w:asciiTheme="minorHAnsi" w:hAnsiTheme="minorHAnsi" w:cstheme="minorHAnsi"/>
          <w:szCs w:val="22"/>
        </w:rPr>
        <w:t xml:space="preserve">teniendo en cuenta los vínculos económicos, organizativos y jurídicos que unen las dos entidades jurídicas, estas </w:t>
      </w:r>
      <w:r w:rsidR="000734BC" w:rsidRPr="00ED7E64">
        <w:rPr>
          <w:rFonts w:asciiTheme="minorHAnsi" w:hAnsiTheme="minorHAnsi" w:cstheme="minorHAnsi"/>
          <w:szCs w:val="22"/>
        </w:rPr>
        <w:t>formen parte de una misma unidad económica y constituyan, por tanto, una sola y misma empresa autora del comportamiento infractor.</w:t>
      </w:r>
    </w:p>
    <w:p w14:paraId="37EAD171" w14:textId="0CA66885" w:rsidR="004402CB" w:rsidRPr="00ED7E64" w:rsidRDefault="00CE4559"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Por tanto, para que la CNMC pueda considerar los productos que puedan ser contratados por la administración con las entidades jurídicas del mismo grupo implicadas activamente en las conductas, deberá acreditarse en todo caso los dos requisitos anteriormente expuestos de forma cumulativa.</w:t>
      </w:r>
    </w:p>
    <w:p w14:paraId="67046B4A" w14:textId="6FF3660F" w:rsidR="00F8348D" w:rsidRPr="00ED7E64" w:rsidRDefault="00F8348D"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Por otro lado, cabe tener en cuenta que, en el caso de un conglomerado, esto es, un grupo de sociedades que actúan en varios ámbitos económicos sin relación alguna entre sí, el TJUE afirma que una filial miembro de un conglomerado no debe correr el riesgo de ser considerada responsable de infracciones cometidas en el marco de actividades económicas sin relación alguna con su propia actividad y en las que no estaba implicada</w:t>
      </w:r>
      <w:r w:rsidRPr="00ED7E64">
        <w:rPr>
          <w:rFonts w:asciiTheme="minorHAnsi" w:hAnsiTheme="minorHAnsi" w:cstheme="minorHAnsi"/>
          <w:szCs w:val="22"/>
          <w:vertAlign w:val="superscript"/>
        </w:rPr>
        <w:footnoteReference w:id="3"/>
      </w:r>
      <w:r w:rsidRPr="00ED7E64">
        <w:rPr>
          <w:rFonts w:asciiTheme="minorHAnsi" w:hAnsiTheme="minorHAnsi" w:cstheme="minorHAnsi"/>
          <w:szCs w:val="22"/>
        </w:rPr>
        <w:t>.</w:t>
      </w:r>
    </w:p>
    <w:p w14:paraId="1AA2DCBA" w14:textId="26D38459" w:rsidR="004402CB" w:rsidRPr="00ED7E64" w:rsidRDefault="00F47FB7"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Es más</w:t>
      </w:r>
      <w:r w:rsidR="004402CB" w:rsidRPr="00ED7E64">
        <w:rPr>
          <w:rFonts w:asciiTheme="minorHAnsi" w:hAnsiTheme="minorHAnsi" w:cstheme="minorHAnsi"/>
          <w:szCs w:val="22"/>
        </w:rPr>
        <w:t xml:space="preserve">, la sentencia </w:t>
      </w:r>
      <w:proofErr w:type="spellStart"/>
      <w:r w:rsidR="004402CB" w:rsidRPr="00ED7E64">
        <w:rPr>
          <w:rFonts w:asciiTheme="minorHAnsi" w:hAnsiTheme="minorHAnsi" w:cstheme="minorHAnsi"/>
          <w:i/>
          <w:iCs/>
          <w:szCs w:val="22"/>
        </w:rPr>
        <w:t>Sumal</w:t>
      </w:r>
      <w:proofErr w:type="spellEnd"/>
      <w:r w:rsidR="004402CB" w:rsidRPr="00ED7E64">
        <w:rPr>
          <w:rFonts w:asciiTheme="minorHAnsi" w:hAnsiTheme="minorHAnsi" w:cstheme="minorHAnsi"/>
          <w:szCs w:val="22"/>
        </w:rPr>
        <w:t xml:space="preserve"> afirma que para considerar que </w:t>
      </w:r>
      <w:r w:rsidR="002E5850" w:rsidRPr="00ED7E64">
        <w:rPr>
          <w:rFonts w:asciiTheme="minorHAnsi" w:hAnsiTheme="minorHAnsi" w:cstheme="minorHAnsi"/>
          <w:szCs w:val="22"/>
        </w:rPr>
        <w:t>las entidades forman parte de una misma</w:t>
      </w:r>
      <w:r w:rsidR="004402CB" w:rsidRPr="00ED7E64">
        <w:rPr>
          <w:rFonts w:asciiTheme="minorHAnsi" w:hAnsiTheme="minorHAnsi" w:cstheme="minorHAnsi"/>
          <w:szCs w:val="22"/>
        </w:rPr>
        <w:t xml:space="preserve"> unidad económica, el acuerdo contrario a la competencia celebrado por la matriz debe referirse a los mismos productos que comercializa la filial</w:t>
      </w:r>
      <w:r w:rsidR="00940360" w:rsidRPr="00ED7E64">
        <w:rPr>
          <w:rStyle w:val="Refdenotaalpie"/>
          <w:rFonts w:asciiTheme="minorHAnsi" w:hAnsiTheme="minorHAnsi" w:cstheme="minorHAnsi"/>
          <w:szCs w:val="22"/>
        </w:rPr>
        <w:footnoteReference w:id="4"/>
      </w:r>
      <w:r w:rsidR="00940360" w:rsidRPr="00ED7E64">
        <w:rPr>
          <w:rFonts w:asciiTheme="minorHAnsi" w:hAnsiTheme="minorHAnsi" w:cstheme="minorHAnsi"/>
          <w:szCs w:val="22"/>
        </w:rPr>
        <w:t xml:space="preserve">. </w:t>
      </w:r>
      <w:r w:rsidR="00182C66" w:rsidRPr="00ED7E64">
        <w:rPr>
          <w:rFonts w:asciiTheme="minorHAnsi" w:hAnsiTheme="minorHAnsi" w:cstheme="minorHAnsi"/>
          <w:szCs w:val="22"/>
        </w:rPr>
        <w:t>Así</w:t>
      </w:r>
      <w:r w:rsidR="00940360" w:rsidRPr="00ED7E64">
        <w:rPr>
          <w:rFonts w:asciiTheme="minorHAnsi" w:hAnsiTheme="minorHAnsi" w:cstheme="minorHAnsi"/>
          <w:szCs w:val="22"/>
        </w:rPr>
        <w:t>, cabe cuestionar la</w:t>
      </w:r>
      <w:r w:rsidR="00182C66" w:rsidRPr="00ED7E64">
        <w:rPr>
          <w:rFonts w:asciiTheme="minorHAnsi" w:hAnsiTheme="minorHAnsi" w:cstheme="minorHAnsi"/>
          <w:szCs w:val="22"/>
        </w:rPr>
        <w:t xml:space="preserve"> </w:t>
      </w:r>
      <w:r w:rsidR="00940360" w:rsidRPr="00ED7E64">
        <w:rPr>
          <w:rFonts w:asciiTheme="minorHAnsi" w:hAnsiTheme="minorHAnsi" w:cstheme="minorHAnsi"/>
          <w:szCs w:val="22"/>
        </w:rPr>
        <w:t xml:space="preserve">inclusión </w:t>
      </w:r>
      <w:r w:rsidR="00182C66" w:rsidRPr="00ED7E64">
        <w:rPr>
          <w:rFonts w:asciiTheme="minorHAnsi" w:hAnsiTheme="minorHAnsi" w:cstheme="minorHAnsi"/>
          <w:szCs w:val="22"/>
        </w:rPr>
        <w:t xml:space="preserve">por parte de la CNMC </w:t>
      </w:r>
      <w:r w:rsidR="00940360" w:rsidRPr="00ED7E64">
        <w:rPr>
          <w:rFonts w:asciiTheme="minorHAnsi" w:hAnsiTheme="minorHAnsi" w:cstheme="minorHAnsi"/>
          <w:szCs w:val="22"/>
        </w:rPr>
        <w:t xml:space="preserve">de </w:t>
      </w:r>
      <w:r w:rsidR="00182C66" w:rsidRPr="00ED7E64">
        <w:rPr>
          <w:rFonts w:asciiTheme="minorHAnsi" w:hAnsiTheme="minorHAnsi" w:cstheme="minorHAnsi"/>
          <w:szCs w:val="22"/>
        </w:rPr>
        <w:t xml:space="preserve">distintos </w:t>
      </w:r>
      <w:r w:rsidR="003539FF" w:rsidRPr="00ED7E64">
        <w:rPr>
          <w:rFonts w:asciiTheme="minorHAnsi" w:hAnsiTheme="minorHAnsi" w:cstheme="minorHAnsi"/>
          <w:szCs w:val="22"/>
        </w:rPr>
        <w:t>productos</w:t>
      </w:r>
      <w:r w:rsidR="00182C66" w:rsidRPr="00ED7E64">
        <w:rPr>
          <w:rFonts w:asciiTheme="minorHAnsi" w:hAnsiTheme="minorHAnsi" w:cstheme="minorHAnsi"/>
          <w:szCs w:val="22"/>
        </w:rPr>
        <w:t>, los cuales</w:t>
      </w:r>
      <w:r w:rsidR="003539FF" w:rsidRPr="00ED7E64">
        <w:rPr>
          <w:rFonts w:asciiTheme="minorHAnsi" w:hAnsiTheme="minorHAnsi" w:cstheme="minorHAnsi"/>
          <w:szCs w:val="22"/>
        </w:rPr>
        <w:t xml:space="preserve"> puedan ser contratados por la administración con las</w:t>
      </w:r>
      <w:r w:rsidR="00182C66" w:rsidRPr="00ED7E64">
        <w:rPr>
          <w:rFonts w:asciiTheme="minorHAnsi" w:hAnsiTheme="minorHAnsi" w:cstheme="minorHAnsi"/>
          <w:szCs w:val="22"/>
        </w:rPr>
        <w:t xml:space="preserve"> diferentes</w:t>
      </w:r>
      <w:r w:rsidR="003539FF" w:rsidRPr="00ED7E64">
        <w:rPr>
          <w:rFonts w:asciiTheme="minorHAnsi" w:hAnsiTheme="minorHAnsi" w:cstheme="minorHAnsi"/>
          <w:szCs w:val="22"/>
        </w:rPr>
        <w:t xml:space="preserve"> entidades jurídicas del mismo grupo implicadas activamente en la conducta</w:t>
      </w:r>
      <w:r w:rsidR="00182C66" w:rsidRPr="00ED7E64">
        <w:rPr>
          <w:rFonts w:asciiTheme="minorHAnsi" w:hAnsiTheme="minorHAnsi" w:cstheme="minorHAnsi"/>
          <w:szCs w:val="22"/>
        </w:rPr>
        <w:t>, y ello por cuanto</w:t>
      </w:r>
      <w:r w:rsidR="00217D61" w:rsidRPr="00ED7E64">
        <w:rPr>
          <w:rFonts w:asciiTheme="minorHAnsi" w:hAnsiTheme="minorHAnsi" w:cstheme="minorHAnsi"/>
          <w:szCs w:val="22"/>
        </w:rPr>
        <w:t xml:space="preserve"> resulta</w:t>
      </w:r>
      <w:r w:rsidR="00940360" w:rsidRPr="00ED7E64">
        <w:rPr>
          <w:rFonts w:asciiTheme="minorHAnsi" w:hAnsiTheme="minorHAnsi" w:cstheme="minorHAnsi"/>
          <w:szCs w:val="22"/>
        </w:rPr>
        <w:t xml:space="preserve"> </w:t>
      </w:r>
      <w:r w:rsidR="00217D61" w:rsidRPr="00ED7E64">
        <w:rPr>
          <w:rFonts w:asciiTheme="minorHAnsi" w:hAnsiTheme="minorHAnsi" w:cstheme="minorHAnsi"/>
          <w:szCs w:val="22"/>
        </w:rPr>
        <w:t>incongruente</w:t>
      </w:r>
      <w:r w:rsidR="00940360" w:rsidRPr="00ED7E64">
        <w:rPr>
          <w:rFonts w:asciiTheme="minorHAnsi" w:hAnsiTheme="minorHAnsi" w:cstheme="minorHAnsi"/>
          <w:szCs w:val="22"/>
        </w:rPr>
        <w:t xml:space="preserve"> que</w:t>
      </w:r>
      <w:r w:rsidR="00182C66" w:rsidRPr="00ED7E64">
        <w:rPr>
          <w:rFonts w:asciiTheme="minorHAnsi" w:hAnsiTheme="minorHAnsi" w:cstheme="minorHAnsi"/>
          <w:szCs w:val="22"/>
        </w:rPr>
        <w:t>, por un lado,</w:t>
      </w:r>
      <w:r w:rsidR="00940360" w:rsidRPr="00ED7E64">
        <w:rPr>
          <w:rFonts w:asciiTheme="minorHAnsi" w:hAnsiTheme="minorHAnsi" w:cstheme="minorHAnsi"/>
          <w:szCs w:val="22"/>
        </w:rPr>
        <w:t xml:space="preserve"> diferentes productos </w:t>
      </w:r>
      <w:r w:rsidR="00182C66" w:rsidRPr="00ED7E64">
        <w:rPr>
          <w:rFonts w:asciiTheme="minorHAnsi" w:hAnsiTheme="minorHAnsi" w:cstheme="minorHAnsi"/>
          <w:szCs w:val="22"/>
        </w:rPr>
        <w:t>impidan considerar</w:t>
      </w:r>
      <w:r w:rsidR="00217D61" w:rsidRPr="00ED7E64">
        <w:rPr>
          <w:rFonts w:asciiTheme="minorHAnsi" w:hAnsiTheme="minorHAnsi" w:cstheme="minorHAnsi"/>
          <w:szCs w:val="22"/>
        </w:rPr>
        <w:t xml:space="preserve"> la existencia de una unidad económica entre dos empresas, pero</w:t>
      </w:r>
      <w:r w:rsidR="00182C66" w:rsidRPr="00ED7E64">
        <w:rPr>
          <w:rFonts w:asciiTheme="minorHAnsi" w:hAnsiTheme="minorHAnsi" w:cstheme="minorHAnsi"/>
          <w:szCs w:val="22"/>
        </w:rPr>
        <w:t xml:space="preserve">, por otro lado, </w:t>
      </w:r>
      <w:r w:rsidR="00940360" w:rsidRPr="00ED7E64">
        <w:rPr>
          <w:rFonts w:asciiTheme="minorHAnsi" w:hAnsiTheme="minorHAnsi" w:cstheme="minorHAnsi"/>
          <w:szCs w:val="22"/>
        </w:rPr>
        <w:t xml:space="preserve">sí </w:t>
      </w:r>
      <w:r w:rsidR="00182C66" w:rsidRPr="00ED7E64">
        <w:rPr>
          <w:rFonts w:asciiTheme="minorHAnsi" w:hAnsiTheme="minorHAnsi" w:cstheme="minorHAnsi"/>
          <w:szCs w:val="22"/>
        </w:rPr>
        <w:t xml:space="preserve">quepa </w:t>
      </w:r>
      <w:r w:rsidR="00940360" w:rsidRPr="00ED7E64">
        <w:rPr>
          <w:rFonts w:asciiTheme="minorHAnsi" w:hAnsiTheme="minorHAnsi" w:cstheme="minorHAnsi"/>
          <w:szCs w:val="22"/>
        </w:rPr>
        <w:t xml:space="preserve">valorar </w:t>
      </w:r>
      <w:r w:rsidR="00217D61" w:rsidRPr="00ED7E64">
        <w:rPr>
          <w:rFonts w:asciiTheme="minorHAnsi" w:hAnsiTheme="minorHAnsi" w:cstheme="minorHAnsi"/>
          <w:szCs w:val="22"/>
        </w:rPr>
        <w:t xml:space="preserve">ambos </w:t>
      </w:r>
      <w:r w:rsidR="00182C66" w:rsidRPr="00ED7E64">
        <w:rPr>
          <w:rFonts w:asciiTheme="minorHAnsi" w:hAnsiTheme="minorHAnsi" w:cstheme="minorHAnsi"/>
          <w:szCs w:val="22"/>
        </w:rPr>
        <w:t xml:space="preserve">productos </w:t>
      </w:r>
      <w:r w:rsidR="00217D61" w:rsidRPr="00ED7E64">
        <w:rPr>
          <w:rFonts w:asciiTheme="minorHAnsi" w:hAnsiTheme="minorHAnsi" w:cstheme="minorHAnsi"/>
          <w:szCs w:val="22"/>
        </w:rPr>
        <w:t>a los</w:t>
      </w:r>
      <w:r w:rsidR="00940360" w:rsidRPr="00ED7E64">
        <w:rPr>
          <w:rFonts w:asciiTheme="minorHAnsi" w:hAnsiTheme="minorHAnsi" w:cstheme="minorHAnsi"/>
          <w:szCs w:val="22"/>
        </w:rPr>
        <w:t xml:space="preserve"> efectos de imponer una prohibición de contratar</w:t>
      </w:r>
      <w:r w:rsidR="00182C66" w:rsidRPr="00ED7E64">
        <w:rPr>
          <w:rFonts w:asciiTheme="minorHAnsi" w:hAnsiTheme="minorHAnsi" w:cstheme="minorHAnsi"/>
          <w:szCs w:val="22"/>
        </w:rPr>
        <w:t xml:space="preserve">, cuando estos </w:t>
      </w:r>
      <w:r w:rsidR="00E27FAF" w:rsidRPr="00ED7E64">
        <w:rPr>
          <w:rFonts w:asciiTheme="minorHAnsi" w:hAnsiTheme="minorHAnsi" w:cstheme="minorHAnsi"/>
          <w:szCs w:val="22"/>
        </w:rPr>
        <w:t>proceden</w:t>
      </w:r>
      <w:r w:rsidR="00182C66" w:rsidRPr="00ED7E64">
        <w:rPr>
          <w:rFonts w:asciiTheme="minorHAnsi" w:hAnsiTheme="minorHAnsi" w:cstheme="minorHAnsi"/>
          <w:szCs w:val="22"/>
        </w:rPr>
        <w:t xml:space="preserve"> de distintas sociedades</w:t>
      </w:r>
      <w:r w:rsidR="00940360" w:rsidRPr="00ED7E64">
        <w:rPr>
          <w:rFonts w:asciiTheme="minorHAnsi" w:hAnsiTheme="minorHAnsi" w:cstheme="minorHAnsi"/>
          <w:szCs w:val="22"/>
        </w:rPr>
        <w:t>.</w:t>
      </w:r>
    </w:p>
    <w:p w14:paraId="68DBA39F" w14:textId="77777777" w:rsidR="00D3241D" w:rsidRPr="00ED7E64" w:rsidRDefault="005741A0"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Por todo lo anterior, en caso de que la autoridad de la competencia no tuviera en cuenta el territorio, el órgano licitador o la actividad en los cuales se produce una determinada infracción, esta estaría desatendiendo al equilibrio entre los principios de disuasión, eficacia y proporcionalidad exigibles en atención a la legislación de contratación pública y las previsiones específicas sancionadoras existentes en la normativa de defensa de la competencia.</w:t>
      </w:r>
      <w:r w:rsidR="00D3241D" w:rsidRPr="00ED7E64">
        <w:rPr>
          <w:rFonts w:asciiTheme="minorHAnsi" w:hAnsiTheme="minorHAnsi" w:cstheme="minorHAnsi"/>
          <w:szCs w:val="22"/>
        </w:rPr>
        <w:t xml:space="preserve"> </w:t>
      </w:r>
    </w:p>
    <w:p w14:paraId="500A2906" w14:textId="74F31809" w:rsidR="005741A0" w:rsidRPr="00ED7E64" w:rsidRDefault="00D3241D"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Asimismo, no únicamente debe exigirse a la autoridad que concrete con detalle (i) el territorio y el órgano licitador; y (</w:t>
      </w:r>
      <w:proofErr w:type="spellStart"/>
      <w:r w:rsidRPr="00ED7E64">
        <w:rPr>
          <w:rFonts w:asciiTheme="minorHAnsi" w:hAnsiTheme="minorHAnsi" w:cstheme="minorHAnsi"/>
          <w:szCs w:val="22"/>
        </w:rPr>
        <w:t>ii</w:t>
      </w:r>
      <w:proofErr w:type="spellEnd"/>
      <w:r w:rsidRPr="00ED7E64">
        <w:rPr>
          <w:rFonts w:asciiTheme="minorHAnsi" w:hAnsiTheme="minorHAnsi" w:cstheme="minorHAnsi"/>
          <w:szCs w:val="22"/>
        </w:rPr>
        <w:t>) el ámbito que haya resultado afectados por la infracción de derecho de la competencia; sino también que esta los tenga en cuenta cuando fije el alcance y la duración de la prohibición de contratar.</w:t>
      </w:r>
    </w:p>
    <w:p w14:paraId="432569C7" w14:textId="61D761BA" w:rsidR="00674A95" w:rsidRPr="00ED7E64" w:rsidRDefault="005741A0" w:rsidP="008937CD">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En segundo lugar, cabe tener en cuenta los </w:t>
      </w:r>
      <w:r w:rsidRPr="00ED7E64">
        <w:rPr>
          <w:rFonts w:asciiTheme="minorHAnsi" w:hAnsiTheme="minorHAnsi" w:cstheme="minorHAnsi"/>
          <w:b/>
          <w:bCs/>
          <w:szCs w:val="22"/>
        </w:rPr>
        <w:t>beneficios del efecto disuasorio a largo plazo</w:t>
      </w:r>
      <w:r w:rsidRPr="00ED7E64">
        <w:rPr>
          <w:rFonts w:asciiTheme="minorHAnsi" w:hAnsiTheme="minorHAnsi" w:cstheme="minorHAnsi"/>
          <w:szCs w:val="22"/>
        </w:rPr>
        <w:t>. En efecto, imponer la prohibición de contratar a un determinado sujeto en una actividad en la cual no se ha producido la infracción o en un territorio en que esta no ha causado ningún efecto, no aporta beneficios en términos disuasorios por cuanto ello no reporta ningún efecto disuasorio ni hacia la sociedad, ni hacia terceros.</w:t>
      </w:r>
    </w:p>
    <w:p w14:paraId="11A2982B" w14:textId="3859465F" w:rsidR="004D3A7A" w:rsidRPr="00ED7E64" w:rsidRDefault="009A53BB" w:rsidP="004D3A7A">
      <w:pPr>
        <w:pStyle w:val="BPLLprrafonumerado"/>
        <w:numPr>
          <w:ilvl w:val="0"/>
          <w:numId w:val="50"/>
        </w:numPr>
        <w:ind w:left="709" w:hanging="709"/>
        <w:rPr>
          <w:rFonts w:asciiTheme="minorHAnsi" w:hAnsiTheme="minorHAnsi" w:cstheme="minorHAnsi"/>
          <w:szCs w:val="22"/>
        </w:rPr>
      </w:pPr>
      <w:bookmarkStart w:id="1" w:name="_Hlk122367350"/>
      <w:r w:rsidRPr="00ED7E64">
        <w:rPr>
          <w:rFonts w:asciiTheme="minorHAnsi" w:hAnsiTheme="minorHAnsi" w:cstheme="minorHAnsi"/>
          <w:szCs w:val="22"/>
        </w:rPr>
        <w:t xml:space="preserve">Por otro lado, coincidimos con la CNMC en la necesidad de tener en cuenta la </w:t>
      </w:r>
      <w:r w:rsidRPr="00ED7E64">
        <w:rPr>
          <w:rFonts w:asciiTheme="minorHAnsi" w:hAnsiTheme="minorHAnsi" w:cstheme="minorHAnsi"/>
          <w:b/>
          <w:bCs/>
          <w:szCs w:val="22"/>
        </w:rPr>
        <w:t xml:space="preserve">gravedad de la infracción </w:t>
      </w:r>
      <w:r w:rsidRPr="00ED7E64">
        <w:rPr>
          <w:rFonts w:asciiTheme="minorHAnsi" w:hAnsiTheme="minorHAnsi" w:cstheme="minorHAnsi"/>
          <w:szCs w:val="22"/>
        </w:rPr>
        <w:t xml:space="preserve">cometida. </w:t>
      </w:r>
      <w:r w:rsidR="00AB42AD" w:rsidRPr="00ED7E64">
        <w:rPr>
          <w:rFonts w:asciiTheme="minorHAnsi" w:hAnsiTheme="minorHAnsi" w:cstheme="minorHAnsi"/>
          <w:szCs w:val="22"/>
        </w:rPr>
        <w:t xml:space="preserve">Sin embargo, </w:t>
      </w:r>
      <w:r w:rsidR="004D3A7A" w:rsidRPr="00ED7E64">
        <w:rPr>
          <w:rFonts w:asciiTheme="minorHAnsi" w:hAnsiTheme="minorHAnsi" w:cstheme="minorHAnsi"/>
          <w:szCs w:val="22"/>
        </w:rPr>
        <w:t>cabe hacer dos apreciaciones. En primer lugar, nos remitimos a lo expuesto en relación con la cuestionabilidad de la imposición de la sanción consistente en la prohibición de contratar a las infracciones de carácter grave recogidas en el artículo 62.3 de la LDC</w:t>
      </w:r>
      <w:r w:rsidR="00272C03" w:rsidRPr="00ED7E64">
        <w:rPr>
          <w:rFonts w:asciiTheme="minorHAnsi" w:hAnsiTheme="minorHAnsi" w:cstheme="minorHAnsi"/>
          <w:szCs w:val="22"/>
        </w:rPr>
        <w:t>, así como a las infracciones de la competencia consistentes en un abuso de posición de dominio</w:t>
      </w:r>
      <w:r w:rsidR="004D3A7A" w:rsidRPr="00ED7E64">
        <w:rPr>
          <w:rFonts w:asciiTheme="minorHAnsi" w:hAnsiTheme="minorHAnsi" w:cstheme="minorHAnsi"/>
          <w:szCs w:val="22"/>
        </w:rPr>
        <w:t xml:space="preserve">. Y, en segundo lugar, </w:t>
      </w:r>
      <w:r w:rsidR="00AB42AD" w:rsidRPr="00ED7E64">
        <w:rPr>
          <w:rFonts w:asciiTheme="minorHAnsi" w:hAnsiTheme="minorHAnsi" w:cstheme="minorHAnsi"/>
          <w:szCs w:val="22"/>
        </w:rPr>
        <w:t xml:space="preserve">se sugiere desarrollar cómo </w:t>
      </w:r>
      <w:r w:rsidR="002B12C0" w:rsidRPr="00ED7E64">
        <w:rPr>
          <w:rFonts w:asciiTheme="minorHAnsi" w:hAnsiTheme="minorHAnsi" w:cstheme="minorHAnsi"/>
          <w:szCs w:val="22"/>
        </w:rPr>
        <w:t xml:space="preserve">la autoridad graduará el alcance y la duración de la prohibición de contratar en función de </w:t>
      </w:r>
      <w:bookmarkEnd w:id="1"/>
      <w:r w:rsidR="00CD1E07" w:rsidRPr="00ED7E64">
        <w:rPr>
          <w:rFonts w:asciiTheme="minorHAnsi" w:hAnsiTheme="minorHAnsi" w:cstheme="minorHAnsi"/>
          <w:szCs w:val="22"/>
        </w:rPr>
        <w:t xml:space="preserve">la </w:t>
      </w:r>
      <w:r w:rsidR="004D3A7A" w:rsidRPr="00ED7E64">
        <w:rPr>
          <w:rFonts w:asciiTheme="minorHAnsi" w:hAnsiTheme="minorHAnsi" w:cstheme="minorHAnsi"/>
          <w:szCs w:val="22"/>
        </w:rPr>
        <w:t>gravedad</w:t>
      </w:r>
      <w:r w:rsidR="00CD1E07" w:rsidRPr="00ED7E64">
        <w:rPr>
          <w:rFonts w:asciiTheme="minorHAnsi" w:hAnsiTheme="minorHAnsi" w:cstheme="minorHAnsi"/>
          <w:szCs w:val="22"/>
        </w:rPr>
        <w:t xml:space="preserve"> de las infracciones</w:t>
      </w:r>
      <w:r w:rsidR="00E27FAF" w:rsidRPr="00ED7E64">
        <w:rPr>
          <w:rFonts w:asciiTheme="minorHAnsi" w:hAnsiTheme="minorHAnsi" w:cstheme="minorHAnsi"/>
          <w:szCs w:val="22"/>
        </w:rPr>
        <w:t xml:space="preserve">. </w:t>
      </w:r>
    </w:p>
    <w:p w14:paraId="30651A4D" w14:textId="2B667953" w:rsidR="0043799A" w:rsidRPr="00ED7E64" w:rsidRDefault="0043799A" w:rsidP="00DB48E7">
      <w:pPr>
        <w:pStyle w:val="BPLLprrafonumerado"/>
        <w:numPr>
          <w:ilvl w:val="0"/>
          <w:numId w:val="50"/>
        </w:numPr>
        <w:ind w:left="709" w:hanging="709"/>
        <w:rPr>
          <w:rFonts w:asciiTheme="minorHAnsi" w:hAnsiTheme="minorHAnsi" w:cstheme="minorHAnsi"/>
          <w:szCs w:val="22"/>
        </w:rPr>
      </w:pPr>
      <w:bookmarkStart w:id="2" w:name="_Hlk122367359"/>
      <w:r w:rsidRPr="00ED7E64">
        <w:rPr>
          <w:rFonts w:asciiTheme="minorHAnsi" w:hAnsiTheme="minorHAnsi" w:cstheme="minorHAnsi"/>
          <w:szCs w:val="22"/>
        </w:rPr>
        <w:t xml:space="preserve">En relación con el criterio relativo al </w:t>
      </w:r>
      <w:r w:rsidRPr="00ED7E64">
        <w:rPr>
          <w:rFonts w:asciiTheme="minorHAnsi" w:hAnsiTheme="minorHAnsi" w:cstheme="minorHAnsi"/>
          <w:b/>
          <w:bCs/>
          <w:szCs w:val="22"/>
        </w:rPr>
        <w:t>grado de participación del sujeto infractor</w:t>
      </w:r>
      <w:r w:rsidRPr="00ED7E64">
        <w:rPr>
          <w:rFonts w:asciiTheme="minorHAnsi" w:hAnsiTheme="minorHAnsi" w:cstheme="minorHAnsi"/>
          <w:szCs w:val="22"/>
        </w:rPr>
        <w:t xml:space="preserve"> en la infracción, puesto que el objetivo de la Comunicación es aportar mayor seguridad jurídica,</w:t>
      </w:r>
      <w:r w:rsidR="001A5F8E" w:rsidRPr="00ED7E64">
        <w:rPr>
          <w:rFonts w:asciiTheme="minorHAnsi" w:hAnsiTheme="minorHAnsi" w:cstheme="minorHAnsi"/>
          <w:szCs w:val="22"/>
        </w:rPr>
        <w:t xml:space="preserve"> </w:t>
      </w:r>
      <w:r w:rsidRPr="00ED7E64">
        <w:rPr>
          <w:rFonts w:asciiTheme="minorHAnsi" w:hAnsiTheme="minorHAnsi" w:cstheme="minorHAnsi"/>
          <w:szCs w:val="22"/>
        </w:rPr>
        <w:t xml:space="preserve">consideramos que la CNMC debería establecer, cuanto menos, </w:t>
      </w:r>
      <w:r w:rsidR="00A5696A" w:rsidRPr="00ED7E64">
        <w:rPr>
          <w:rFonts w:asciiTheme="minorHAnsi" w:hAnsiTheme="minorHAnsi" w:cstheme="minorHAnsi"/>
          <w:szCs w:val="22"/>
        </w:rPr>
        <w:t>cómo valora</w:t>
      </w:r>
      <w:r w:rsidR="00B90CF7" w:rsidRPr="00ED7E64">
        <w:rPr>
          <w:rFonts w:asciiTheme="minorHAnsi" w:hAnsiTheme="minorHAnsi" w:cstheme="minorHAnsi"/>
          <w:szCs w:val="22"/>
        </w:rPr>
        <w:t xml:space="preserve">rá dicho </w:t>
      </w:r>
      <w:r w:rsidR="00A5696A" w:rsidRPr="00ED7E64">
        <w:rPr>
          <w:rFonts w:asciiTheme="minorHAnsi" w:hAnsiTheme="minorHAnsi" w:cstheme="minorHAnsi"/>
          <w:szCs w:val="22"/>
        </w:rPr>
        <w:t xml:space="preserve">criterio </w:t>
      </w:r>
      <w:r w:rsidR="00B90CF7" w:rsidRPr="00ED7E64">
        <w:rPr>
          <w:rFonts w:asciiTheme="minorHAnsi" w:hAnsiTheme="minorHAnsi" w:cstheme="minorHAnsi"/>
          <w:szCs w:val="22"/>
        </w:rPr>
        <w:t>en la práctica</w:t>
      </w:r>
      <w:r w:rsidR="00A5696A" w:rsidRPr="00ED7E64">
        <w:rPr>
          <w:rFonts w:asciiTheme="minorHAnsi" w:hAnsiTheme="minorHAnsi" w:cstheme="minorHAnsi"/>
          <w:szCs w:val="22"/>
        </w:rPr>
        <w:t>.</w:t>
      </w:r>
      <w:r w:rsidR="001A5F8E" w:rsidRPr="00ED7E64">
        <w:rPr>
          <w:rFonts w:asciiTheme="minorHAnsi" w:hAnsiTheme="minorHAnsi" w:cstheme="minorHAnsi"/>
          <w:szCs w:val="22"/>
        </w:rPr>
        <w:t xml:space="preserve"> </w:t>
      </w:r>
      <w:r w:rsidR="00B90CF7" w:rsidRPr="00ED7E64">
        <w:rPr>
          <w:rFonts w:asciiTheme="minorHAnsi" w:hAnsiTheme="minorHAnsi" w:cstheme="minorHAnsi"/>
          <w:szCs w:val="22"/>
        </w:rPr>
        <w:t>Su regulación</w:t>
      </w:r>
      <w:r w:rsidR="001A5F8E" w:rsidRPr="00ED7E64">
        <w:rPr>
          <w:rFonts w:asciiTheme="minorHAnsi" w:hAnsiTheme="minorHAnsi" w:cstheme="minorHAnsi"/>
          <w:szCs w:val="22"/>
        </w:rPr>
        <w:t xml:space="preserve"> también impediría que quedara al arbitrio de las autoridades de la competencia su determinación y valoración, sin que exista ningún tipo de criterio </w:t>
      </w:r>
      <w:r w:rsidR="00E27FAF" w:rsidRPr="00ED7E64">
        <w:rPr>
          <w:rFonts w:asciiTheme="minorHAnsi" w:hAnsiTheme="minorHAnsi" w:cstheme="minorHAnsi"/>
          <w:szCs w:val="22"/>
        </w:rPr>
        <w:t>uniformizado</w:t>
      </w:r>
      <w:r w:rsidR="001A5F8E" w:rsidRPr="00ED7E64">
        <w:rPr>
          <w:rFonts w:asciiTheme="minorHAnsi" w:hAnsiTheme="minorHAnsi" w:cstheme="minorHAnsi"/>
          <w:szCs w:val="22"/>
        </w:rPr>
        <w:t xml:space="preserve"> al respecto.</w:t>
      </w:r>
    </w:p>
    <w:bookmarkEnd w:id="2"/>
    <w:p w14:paraId="431050F4" w14:textId="0DD4F717" w:rsidR="007E2471" w:rsidRPr="00ED7E64" w:rsidRDefault="0043799A"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A</w:t>
      </w:r>
      <w:r w:rsidR="000C0F9B" w:rsidRPr="00ED7E64">
        <w:rPr>
          <w:rFonts w:asciiTheme="minorHAnsi" w:hAnsiTheme="minorHAnsi" w:cstheme="minorHAnsi"/>
          <w:szCs w:val="22"/>
        </w:rPr>
        <w:t xml:space="preserve"> este respecto</w:t>
      </w:r>
      <w:r w:rsidRPr="00ED7E64">
        <w:rPr>
          <w:rFonts w:asciiTheme="minorHAnsi" w:hAnsiTheme="minorHAnsi" w:cstheme="minorHAnsi"/>
          <w:szCs w:val="22"/>
        </w:rPr>
        <w:t xml:space="preserve">, resulta crucial que la Comunicación recoja la reducción </w:t>
      </w:r>
      <w:r w:rsidR="005D2B1C" w:rsidRPr="00ED7E64">
        <w:rPr>
          <w:rFonts w:asciiTheme="minorHAnsi" w:hAnsiTheme="minorHAnsi" w:cstheme="minorHAnsi"/>
          <w:szCs w:val="22"/>
        </w:rPr>
        <w:t xml:space="preserve">de la sanción pecuniaria </w:t>
      </w:r>
      <w:r w:rsidRPr="00ED7E64">
        <w:rPr>
          <w:rFonts w:asciiTheme="minorHAnsi" w:hAnsiTheme="minorHAnsi" w:cstheme="minorHAnsi"/>
          <w:szCs w:val="22"/>
        </w:rPr>
        <w:t>que ha</w:t>
      </w:r>
      <w:r w:rsidR="005D2B1C" w:rsidRPr="00ED7E64">
        <w:rPr>
          <w:rFonts w:asciiTheme="minorHAnsi" w:hAnsiTheme="minorHAnsi" w:cstheme="minorHAnsi"/>
          <w:szCs w:val="22"/>
        </w:rPr>
        <w:t>n</w:t>
      </w:r>
      <w:r w:rsidRPr="00ED7E64">
        <w:rPr>
          <w:rFonts w:asciiTheme="minorHAnsi" w:hAnsiTheme="minorHAnsi" w:cstheme="minorHAnsi"/>
          <w:szCs w:val="22"/>
        </w:rPr>
        <w:t xml:space="preserve"> venido aplicando </w:t>
      </w:r>
      <w:r w:rsidR="005D2B1C" w:rsidRPr="00ED7E64">
        <w:rPr>
          <w:rFonts w:asciiTheme="minorHAnsi" w:hAnsiTheme="minorHAnsi" w:cstheme="minorHAnsi"/>
          <w:szCs w:val="22"/>
        </w:rPr>
        <w:t>las diferentes autoridades de la competencia españolas</w:t>
      </w:r>
      <w:r w:rsidRPr="00ED7E64">
        <w:rPr>
          <w:rFonts w:asciiTheme="minorHAnsi" w:hAnsiTheme="minorHAnsi" w:cstheme="minorHAnsi"/>
          <w:szCs w:val="22"/>
        </w:rPr>
        <w:t xml:space="preserve"> cuando </w:t>
      </w:r>
      <w:r w:rsidR="00BE5FEB" w:rsidRPr="00ED7E64">
        <w:rPr>
          <w:rFonts w:asciiTheme="minorHAnsi" w:hAnsiTheme="minorHAnsi" w:cstheme="minorHAnsi"/>
          <w:szCs w:val="22"/>
        </w:rPr>
        <w:t xml:space="preserve">alguna de las sociedades ha participado en </w:t>
      </w:r>
      <w:r w:rsidR="00CA6B9F" w:rsidRPr="00ED7E64">
        <w:rPr>
          <w:rFonts w:asciiTheme="minorHAnsi" w:hAnsiTheme="minorHAnsi" w:cstheme="minorHAnsi"/>
          <w:szCs w:val="22"/>
        </w:rPr>
        <w:t xml:space="preserve">una determinada licitación en forma de </w:t>
      </w:r>
      <w:r w:rsidR="00BE5FEB" w:rsidRPr="00ED7E64">
        <w:rPr>
          <w:rFonts w:asciiTheme="minorHAnsi" w:hAnsiTheme="minorHAnsi" w:cstheme="minorHAnsi"/>
          <w:szCs w:val="22"/>
        </w:rPr>
        <w:t>Unión Temporal de Empresas (“</w:t>
      </w:r>
      <w:r w:rsidR="00BE5FEB" w:rsidRPr="00ED7E64">
        <w:rPr>
          <w:rFonts w:asciiTheme="minorHAnsi" w:hAnsiTheme="minorHAnsi" w:cstheme="minorHAnsi"/>
          <w:b/>
          <w:bCs/>
          <w:szCs w:val="22"/>
        </w:rPr>
        <w:t>UTE</w:t>
      </w:r>
      <w:r w:rsidR="00BE5FEB" w:rsidRPr="00ED7E64">
        <w:rPr>
          <w:rFonts w:asciiTheme="minorHAnsi" w:hAnsiTheme="minorHAnsi" w:cstheme="minorHAnsi"/>
          <w:szCs w:val="22"/>
        </w:rPr>
        <w:t>”)</w:t>
      </w:r>
      <w:r w:rsidR="00CA6B9F" w:rsidRPr="00ED7E64">
        <w:rPr>
          <w:rFonts w:asciiTheme="minorHAnsi" w:hAnsiTheme="minorHAnsi" w:cstheme="minorHAnsi"/>
          <w:szCs w:val="22"/>
        </w:rPr>
        <w:t>. En concreto, la referida reducción se aplica</w:t>
      </w:r>
      <w:r w:rsidR="00BE5FEB" w:rsidRPr="00ED7E64">
        <w:rPr>
          <w:rFonts w:asciiTheme="minorHAnsi" w:hAnsiTheme="minorHAnsi" w:cstheme="minorHAnsi"/>
          <w:szCs w:val="22"/>
        </w:rPr>
        <w:t xml:space="preserve"> en la misma proporción en la que </w:t>
      </w:r>
      <w:r w:rsidR="00CA6B9F" w:rsidRPr="00ED7E64">
        <w:rPr>
          <w:rFonts w:asciiTheme="minorHAnsi" w:hAnsiTheme="minorHAnsi" w:cstheme="minorHAnsi"/>
          <w:szCs w:val="22"/>
        </w:rPr>
        <w:t>la sociedad en cuestión ha</w:t>
      </w:r>
      <w:r w:rsidR="00BE5FEB" w:rsidRPr="00ED7E64">
        <w:rPr>
          <w:rFonts w:asciiTheme="minorHAnsi" w:hAnsiTheme="minorHAnsi" w:cstheme="minorHAnsi"/>
          <w:szCs w:val="22"/>
        </w:rPr>
        <w:t xml:space="preserve"> participado en la UTE</w:t>
      </w:r>
      <w:r w:rsidR="00E27FAF" w:rsidRPr="00ED7E64">
        <w:rPr>
          <w:rFonts w:asciiTheme="minorHAnsi" w:hAnsiTheme="minorHAnsi" w:cstheme="minorHAnsi"/>
          <w:szCs w:val="22"/>
        </w:rPr>
        <w:t>, por lo que cabría</w:t>
      </w:r>
      <w:r w:rsidR="005D2B1C" w:rsidRPr="00ED7E64">
        <w:rPr>
          <w:rFonts w:asciiTheme="minorHAnsi" w:hAnsiTheme="minorHAnsi" w:cstheme="minorHAnsi"/>
          <w:szCs w:val="22"/>
        </w:rPr>
        <w:t xml:space="preserve"> aplicar esta reducción también en la sanción consistente en la prohibición de contratar</w:t>
      </w:r>
      <w:r w:rsidR="00134B3B" w:rsidRPr="00ED7E64">
        <w:rPr>
          <w:rFonts w:asciiTheme="minorHAnsi" w:hAnsiTheme="minorHAnsi" w:cstheme="minorHAnsi"/>
          <w:szCs w:val="22"/>
        </w:rPr>
        <w:t>, en lo que respecta a su alcance y duración</w:t>
      </w:r>
      <w:r w:rsidR="005D2B1C" w:rsidRPr="00ED7E64">
        <w:rPr>
          <w:rFonts w:asciiTheme="minorHAnsi" w:hAnsiTheme="minorHAnsi" w:cstheme="minorHAnsi"/>
          <w:szCs w:val="22"/>
        </w:rPr>
        <w:t>.</w:t>
      </w:r>
    </w:p>
    <w:p w14:paraId="16B92179" w14:textId="6C9CFB57" w:rsidR="00D637A9" w:rsidRPr="00ED7E64" w:rsidRDefault="00C432E8"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De la misma manera, </w:t>
      </w:r>
      <w:r w:rsidR="00BE5FEB" w:rsidRPr="00ED7E64">
        <w:rPr>
          <w:rFonts w:asciiTheme="minorHAnsi" w:hAnsiTheme="minorHAnsi" w:cstheme="minorHAnsi"/>
          <w:szCs w:val="22"/>
        </w:rPr>
        <w:t xml:space="preserve">cabe hacer extensible la referida reducción </w:t>
      </w:r>
      <w:r w:rsidR="00686BB0" w:rsidRPr="00ED7E64">
        <w:rPr>
          <w:rFonts w:asciiTheme="minorHAnsi" w:hAnsiTheme="minorHAnsi" w:cstheme="minorHAnsi"/>
          <w:szCs w:val="22"/>
        </w:rPr>
        <w:t xml:space="preserve">por razón de un grado de participación menor en el caso de utilizar la forma jurídica de UTE para presentarse, a </w:t>
      </w:r>
      <w:r w:rsidR="00BE5FEB" w:rsidRPr="00ED7E64">
        <w:rPr>
          <w:rFonts w:asciiTheme="minorHAnsi" w:hAnsiTheme="minorHAnsi" w:cstheme="minorHAnsi"/>
          <w:szCs w:val="22"/>
        </w:rPr>
        <w:t xml:space="preserve">la </w:t>
      </w:r>
      <w:r w:rsidR="000F28EE" w:rsidRPr="00ED7E64">
        <w:rPr>
          <w:rFonts w:asciiTheme="minorHAnsi" w:hAnsiTheme="minorHAnsi" w:cstheme="minorHAnsi"/>
          <w:szCs w:val="22"/>
        </w:rPr>
        <w:t xml:space="preserve">proporción en la que cada sociedad participa en la presentación de una oferta cuando esta se realiza </w:t>
      </w:r>
      <w:r w:rsidR="003E0E15" w:rsidRPr="00ED7E64">
        <w:rPr>
          <w:rFonts w:asciiTheme="minorHAnsi" w:hAnsiTheme="minorHAnsi" w:cstheme="minorHAnsi"/>
          <w:szCs w:val="22"/>
        </w:rPr>
        <w:t>juntamente con</w:t>
      </w:r>
      <w:r w:rsidR="000F28EE" w:rsidRPr="00ED7E64">
        <w:rPr>
          <w:rFonts w:asciiTheme="minorHAnsi" w:hAnsiTheme="minorHAnsi" w:cstheme="minorHAnsi"/>
          <w:szCs w:val="22"/>
        </w:rPr>
        <w:t xml:space="preserve"> otras</w:t>
      </w:r>
      <w:r w:rsidR="00686BB0" w:rsidRPr="00ED7E64">
        <w:rPr>
          <w:rFonts w:asciiTheme="minorHAnsi" w:hAnsiTheme="minorHAnsi" w:cstheme="minorHAnsi"/>
          <w:szCs w:val="22"/>
        </w:rPr>
        <w:t xml:space="preserve"> </w:t>
      </w:r>
      <w:r w:rsidR="00505A25" w:rsidRPr="00ED7E64">
        <w:rPr>
          <w:rFonts w:asciiTheme="minorHAnsi" w:hAnsiTheme="minorHAnsi" w:cstheme="minorHAnsi"/>
          <w:szCs w:val="22"/>
        </w:rPr>
        <w:t xml:space="preserve">mediante un </w:t>
      </w:r>
      <w:r w:rsidR="006356E2" w:rsidRPr="00ED7E64">
        <w:rPr>
          <w:rFonts w:asciiTheme="minorHAnsi" w:hAnsiTheme="minorHAnsi" w:cstheme="minorHAnsi"/>
          <w:szCs w:val="22"/>
        </w:rPr>
        <w:t>acuerdo</w:t>
      </w:r>
      <w:r w:rsidR="00505A25" w:rsidRPr="00ED7E64">
        <w:rPr>
          <w:rFonts w:asciiTheme="minorHAnsi" w:hAnsiTheme="minorHAnsi" w:cstheme="minorHAnsi"/>
          <w:szCs w:val="22"/>
        </w:rPr>
        <w:t xml:space="preserve"> de subcontrata</w:t>
      </w:r>
      <w:r w:rsidR="006356E2" w:rsidRPr="00ED7E64">
        <w:rPr>
          <w:rFonts w:asciiTheme="minorHAnsi" w:hAnsiTheme="minorHAnsi" w:cstheme="minorHAnsi"/>
          <w:szCs w:val="22"/>
        </w:rPr>
        <w:t>ción</w:t>
      </w:r>
      <w:r w:rsidR="00BE5FEB" w:rsidRPr="00ED7E64">
        <w:rPr>
          <w:rFonts w:asciiTheme="minorHAnsi" w:hAnsiTheme="minorHAnsi" w:cstheme="minorHAnsi"/>
          <w:szCs w:val="22"/>
        </w:rPr>
        <w:t xml:space="preserve">. </w:t>
      </w:r>
    </w:p>
    <w:p w14:paraId="5ED90121" w14:textId="187164CB" w:rsidR="00BE153B" w:rsidRPr="00ED7E64" w:rsidRDefault="007D6DCE" w:rsidP="00DB48E7">
      <w:pPr>
        <w:pStyle w:val="BPLLprrafonumerado"/>
        <w:numPr>
          <w:ilvl w:val="0"/>
          <w:numId w:val="50"/>
        </w:numPr>
        <w:ind w:left="709" w:hanging="709"/>
        <w:rPr>
          <w:rFonts w:asciiTheme="minorHAnsi" w:hAnsiTheme="minorHAnsi" w:cstheme="minorHAnsi"/>
          <w:szCs w:val="22"/>
        </w:rPr>
      </w:pPr>
      <w:bookmarkStart w:id="3" w:name="_Hlk122369340"/>
      <w:r w:rsidRPr="00ED7E64">
        <w:rPr>
          <w:rFonts w:asciiTheme="minorHAnsi" w:hAnsiTheme="minorHAnsi" w:cstheme="minorHAnsi"/>
          <w:szCs w:val="22"/>
        </w:rPr>
        <w:t>Por otro lado, se sugiere a la CNMC incluir como criterio a valorar en la determinación de</w:t>
      </w:r>
      <w:r w:rsidR="00C219C3" w:rsidRPr="00ED7E64">
        <w:rPr>
          <w:rFonts w:asciiTheme="minorHAnsi" w:hAnsiTheme="minorHAnsi" w:cstheme="minorHAnsi"/>
          <w:szCs w:val="22"/>
        </w:rPr>
        <w:t xml:space="preserve">l alcance y la duración </w:t>
      </w:r>
      <w:r w:rsidRPr="00ED7E64">
        <w:rPr>
          <w:rFonts w:asciiTheme="minorHAnsi" w:hAnsiTheme="minorHAnsi" w:cstheme="minorHAnsi"/>
          <w:szCs w:val="22"/>
        </w:rPr>
        <w:t xml:space="preserve">de la prohibición de contratar el </w:t>
      </w:r>
      <w:r w:rsidRPr="00ED7E64">
        <w:rPr>
          <w:rFonts w:asciiTheme="minorHAnsi" w:hAnsiTheme="minorHAnsi" w:cstheme="minorHAnsi"/>
          <w:b/>
          <w:bCs/>
          <w:szCs w:val="22"/>
        </w:rPr>
        <w:t xml:space="preserve">origen del volumen de negocios </w:t>
      </w:r>
      <w:r w:rsidR="001A0581" w:rsidRPr="00ED7E64">
        <w:rPr>
          <w:rFonts w:asciiTheme="minorHAnsi" w:hAnsiTheme="minorHAnsi" w:cstheme="minorHAnsi"/>
          <w:b/>
          <w:bCs/>
          <w:szCs w:val="22"/>
        </w:rPr>
        <w:t xml:space="preserve">del sujeto infractor </w:t>
      </w:r>
      <w:r w:rsidRPr="00ED7E64">
        <w:rPr>
          <w:rFonts w:asciiTheme="minorHAnsi" w:hAnsiTheme="minorHAnsi" w:cstheme="minorHAnsi"/>
          <w:b/>
          <w:bCs/>
          <w:szCs w:val="22"/>
        </w:rPr>
        <w:t>proveniente de contratos con la Administración pública</w:t>
      </w:r>
      <w:r w:rsidRPr="00ED7E64">
        <w:rPr>
          <w:rFonts w:asciiTheme="minorHAnsi" w:hAnsiTheme="minorHAnsi" w:cstheme="minorHAnsi"/>
          <w:szCs w:val="22"/>
        </w:rPr>
        <w:t xml:space="preserve">. </w:t>
      </w:r>
      <w:r w:rsidR="00CD1E07" w:rsidRPr="00ED7E64">
        <w:rPr>
          <w:rFonts w:asciiTheme="minorHAnsi" w:hAnsiTheme="minorHAnsi" w:cstheme="minorHAnsi"/>
          <w:i/>
          <w:iCs/>
          <w:szCs w:val="22"/>
        </w:rPr>
        <w:t xml:space="preserve">Id </w:t>
      </w:r>
      <w:proofErr w:type="spellStart"/>
      <w:r w:rsidR="00CD1E07" w:rsidRPr="00ED7E64">
        <w:rPr>
          <w:rFonts w:asciiTheme="minorHAnsi" w:hAnsiTheme="minorHAnsi" w:cstheme="minorHAnsi"/>
          <w:i/>
          <w:iCs/>
          <w:szCs w:val="22"/>
        </w:rPr>
        <w:t>est</w:t>
      </w:r>
      <w:proofErr w:type="spellEnd"/>
      <w:r w:rsidRPr="00ED7E64">
        <w:rPr>
          <w:rFonts w:asciiTheme="minorHAnsi" w:hAnsiTheme="minorHAnsi" w:cstheme="minorHAnsi"/>
          <w:szCs w:val="22"/>
        </w:rPr>
        <w:t xml:space="preserve">, </w:t>
      </w:r>
      <w:r w:rsidR="00355BDE" w:rsidRPr="00ED7E64">
        <w:rPr>
          <w:rFonts w:asciiTheme="minorHAnsi" w:hAnsiTheme="minorHAnsi" w:cstheme="minorHAnsi"/>
          <w:szCs w:val="22"/>
        </w:rPr>
        <w:t xml:space="preserve">la autoridad </w:t>
      </w:r>
      <w:bookmarkEnd w:id="3"/>
      <w:r w:rsidR="00355BDE" w:rsidRPr="00ED7E64">
        <w:rPr>
          <w:rFonts w:asciiTheme="minorHAnsi" w:hAnsiTheme="minorHAnsi" w:cstheme="minorHAnsi"/>
          <w:szCs w:val="22"/>
        </w:rPr>
        <w:t xml:space="preserve">debe valorar si la imposición de la prohibición de contratar puede causar un desequilibrio en la actividad de la sociedad que pueda llegar a privarla de una parte muy significativa de su negocio y, consecuentemente, afectar a su viabilidad en el corto, medio y/o largo plazo. </w:t>
      </w:r>
      <w:r w:rsidR="00442FC5" w:rsidRPr="00ED7E64">
        <w:rPr>
          <w:rFonts w:asciiTheme="minorHAnsi" w:hAnsiTheme="minorHAnsi" w:cstheme="minorHAnsi"/>
          <w:szCs w:val="22"/>
        </w:rPr>
        <w:t xml:space="preserve">A este respecto, </w:t>
      </w:r>
      <w:r w:rsidR="00E2515F" w:rsidRPr="00ED7E64">
        <w:rPr>
          <w:rFonts w:asciiTheme="minorHAnsi" w:hAnsiTheme="minorHAnsi" w:cstheme="minorHAnsi"/>
          <w:szCs w:val="22"/>
        </w:rPr>
        <w:t>la autoridad debe</w:t>
      </w:r>
      <w:r w:rsidR="00442FC5" w:rsidRPr="00ED7E64">
        <w:rPr>
          <w:rFonts w:asciiTheme="minorHAnsi" w:hAnsiTheme="minorHAnsi" w:cstheme="minorHAnsi"/>
          <w:szCs w:val="22"/>
        </w:rPr>
        <w:t xml:space="preserve"> (i)</w:t>
      </w:r>
      <w:r w:rsidR="007F407C" w:rsidRPr="00ED7E64">
        <w:rPr>
          <w:rFonts w:asciiTheme="minorHAnsi" w:hAnsiTheme="minorHAnsi" w:cstheme="minorHAnsi"/>
          <w:szCs w:val="22"/>
        </w:rPr>
        <w:t xml:space="preserve"> valorar</w:t>
      </w:r>
      <w:r w:rsidR="00442FC5" w:rsidRPr="00ED7E64">
        <w:rPr>
          <w:rFonts w:asciiTheme="minorHAnsi" w:hAnsiTheme="minorHAnsi" w:cstheme="minorHAnsi"/>
          <w:szCs w:val="22"/>
        </w:rPr>
        <w:t xml:space="preserve"> el porcentaje de los ingresos de la sociedad que dependen exclusivamente del sector público; y (</w:t>
      </w:r>
      <w:proofErr w:type="spellStart"/>
      <w:r w:rsidR="00442FC5" w:rsidRPr="00ED7E64">
        <w:rPr>
          <w:rFonts w:asciiTheme="minorHAnsi" w:hAnsiTheme="minorHAnsi" w:cstheme="minorHAnsi"/>
          <w:szCs w:val="22"/>
        </w:rPr>
        <w:t>ii</w:t>
      </w:r>
      <w:proofErr w:type="spellEnd"/>
      <w:r w:rsidR="00442FC5" w:rsidRPr="00ED7E64">
        <w:rPr>
          <w:rFonts w:asciiTheme="minorHAnsi" w:hAnsiTheme="minorHAnsi" w:cstheme="minorHAnsi"/>
          <w:szCs w:val="22"/>
        </w:rPr>
        <w:t xml:space="preserve">) </w:t>
      </w:r>
      <w:r w:rsidR="007F407C" w:rsidRPr="00ED7E64">
        <w:rPr>
          <w:rFonts w:asciiTheme="minorHAnsi" w:hAnsiTheme="minorHAnsi" w:cstheme="minorHAnsi"/>
          <w:szCs w:val="22"/>
        </w:rPr>
        <w:t xml:space="preserve">determinar cómo se </w:t>
      </w:r>
      <w:r w:rsidR="00E2515F" w:rsidRPr="00ED7E64">
        <w:rPr>
          <w:rFonts w:asciiTheme="minorHAnsi" w:hAnsiTheme="minorHAnsi" w:cstheme="minorHAnsi"/>
          <w:szCs w:val="22"/>
        </w:rPr>
        <w:t>pondera este criterio</w:t>
      </w:r>
      <w:r w:rsidR="007F407C" w:rsidRPr="00ED7E64">
        <w:rPr>
          <w:rFonts w:asciiTheme="minorHAnsi" w:hAnsiTheme="minorHAnsi" w:cstheme="minorHAnsi"/>
          <w:szCs w:val="22"/>
        </w:rPr>
        <w:t xml:space="preserve"> en la </w:t>
      </w:r>
      <w:r w:rsidR="00E2515F" w:rsidRPr="00ED7E64">
        <w:rPr>
          <w:rFonts w:asciiTheme="minorHAnsi" w:hAnsiTheme="minorHAnsi" w:cstheme="minorHAnsi"/>
          <w:szCs w:val="22"/>
        </w:rPr>
        <w:t>determinación del alcance y duración de</w:t>
      </w:r>
      <w:r w:rsidR="007F407C" w:rsidRPr="00ED7E64">
        <w:rPr>
          <w:rFonts w:asciiTheme="minorHAnsi" w:hAnsiTheme="minorHAnsi" w:cstheme="minorHAnsi"/>
          <w:szCs w:val="22"/>
        </w:rPr>
        <w:t xml:space="preserve"> la sanción, con el objetivo de aportar seguridad jurídica.</w:t>
      </w:r>
    </w:p>
    <w:p w14:paraId="67F96B63" w14:textId="2E456401" w:rsidR="00C76A04" w:rsidRPr="00ED7E64" w:rsidRDefault="00C76A04"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Por último, en relación con la </w:t>
      </w:r>
      <w:r w:rsidRPr="00ED7E64">
        <w:rPr>
          <w:rFonts w:asciiTheme="minorHAnsi" w:hAnsiTheme="minorHAnsi" w:cstheme="minorHAnsi"/>
          <w:b/>
          <w:bCs/>
          <w:szCs w:val="22"/>
        </w:rPr>
        <w:t>duración máxima</w:t>
      </w:r>
      <w:r w:rsidRPr="00ED7E64">
        <w:rPr>
          <w:rFonts w:asciiTheme="minorHAnsi" w:hAnsiTheme="minorHAnsi" w:cstheme="minorHAnsi"/>
          <w:szCs w:val="22"/>
        </w:rPr>
        <w:t xml:space="preserve"> de la prohibición de contratar para infracciones administrativas firmes, de acuerdo con el artículo 72.6 de la LCSP, esta se establece en tres años. Sin embargo, y teniendo en cuenta que la </w:t>
      </w:r>
      <w:r w:rsidR="00E31E06" w:rsidRPr="00ED7E64">
        <w:rPr>
          <w:rFonts w:asciiTheme="minorHAnsi" w:hAnsiTheme="minorHAnsi" w:cstheme="minorHAnsi"/>
          <w:szCs w:val="22"/>
        </w:rPr>
        <w:t>imposición</w:t>
      </w:r>
      <w:r w:rsidRPr="00ED7E64">
        <w:rPr>
          <w:rFonts w:asciiTheme="minorHAnsi" w:hAnsiTheme="minorHAnsi" w:cstheme="minorHAnsi"/>
          <w:szCs w:val="22"/>
        </w:rPr>
        <w:t xml:space="preserve"> de la prohibición de contratar se ha aplicado muy recientemente en el ámbito del derecho de la competencia</w:t>
      </w:r>
      <w:r w:rsidRPr="00ED7E64">
        <w:rPr>
          <w:rStyle w:val="Refdenotaalpie"/>
          <w:rFonts w:asciiTheme="minorHAnsi" w:hAnsiTheme="minorHAnsi" w:cstheme="minorHAnsi"/>
          <w:szCs w:val="22"/>
        </w:rPr>
        <w:footnoteReference w:id="5"/>
      </w:r>
      <w:r w:rsidRPr="00ED7E64">
        <w:rPr>
          <w:rFonts w:asciiTheme="minorHAnsi" w:hAnsiTheme="minorHAnsi" w:cstheme="minorHAnsi"/>
          <w:szCs w:val="22"/>
        </w:rPr>
        <w:t xml:space="preserve">, cabe cuestionar si la referida duración máxima es también idónea en este ámbito o si, por el contrario, esta es demasiado extensa si se toman en consideración el tipo de conductas sancionables, así como la exigible aplicación del principio de proporcionalidad. </w:t>
      </w:r>
    </w:p>
    <w:p w14:paraId="1F7DA4A5" w14:textId="2BE62661" w:rsidR="00C76A04" w:rsidRPr="00ED7E64" w:rsidRDefault="00C76A04" w:rsidP="00DB48E7">
      <w:pPr>
        <w:pStyle w:val="BPLLprrafonumerado"/>
        <w:numPr>
          <w:ilvl w:val="0"/>
          <w:numId w:val="50"/>
        </w:numPr>
        <w:ind w:left="709" w:hanging="709"/>
        <w:rPr>
          <w:rFonts w:asciiTheme="minorHAnsi" w:hAnsiTheme="minorHAnsi" w:cstheme="minorHAnsi"/>
          <w:szCs w:val="22"/>
        </w:rPr>
      </w:pPr>
      <w:bookmarkStart w:id="4" w:name="_Hlk122367342"/>
      <w:r w:rsidRPr="00ED7E64">
        <w:rPr>
          <w:rFonts w:asciiTheme="minorHAnsi" w:hAnsiTheme="minorHAnsi" w:cstheme="minorHAnsi"/>
          <w:szCs w:val="22"/>
        </w:rPr>
        <w:t xml:space="preserve">La Comunicación, acertadamente, considera que la </w:t>
      </w:r>
      <w:r w:rsidRPr="00ED7E64">
        <w:rPr>
          <w:rFonts w:asciiTheme="minorHAnsi" w:hAnsiTheme="minorHAnsi" w:cstheme="minorHAnsi"/>
          <w:b/>
          <w:bCs/>
          <w:szCs w:val="22"/>
        </w:rPr>
        <w:t>duración de la infracción</w:t>
      </w:r>
      <w:r w:rsidRPr="00ED7E64">
        <w:rPr>
          <w:rFonts w:asciiTheme="minorHAnsi" w:hAnsiTheme="minorHAnsi" w:cstheme="minorHAnsi"/>
          <w:szCs w:val="22"/>
        </w:rPr>
        <w:t xml:space="preserve"> constituye una </w:t>
      </w:r>
      <w:bookmarkEnd w:id="4"/>
      <w:r w:rsidRPr="00ED7E64">
        <w:rPr>
          <w:rFonts w:asciiTheme="minorHAnsi" w:hAnsiTheme="minorHAnsi" w:cstheme="minorHAnsi"/>
          <w:szCs w:val="22"/>
        </w:rPr>
        <w:t xml:space="preserve">circunstancia objetiva que debe orientar la determinación de la duración de la prohibición de contratar. En este sentido, resulta conveniente que la autoridad </w:t>
      </w:r>
      <w:r w:rsidR="00357EE8" w:rsidRPr="00ED7E64">
        <w:rPr>
          <w:rFonts w:asciiTheme="minorHAnsi" w:hAnsiTheme="minorHAnsi" w:cstheme="minorHAnsi"/>
          <w:szCs w:val="22"/>
        </w:rPr>
        <w:t>e</w:t>
      </w:r>
      <w:r w:rsidRPr="00ED7E64">
        <w:rPr>
          <w:rFonts w:asciiTheme="minorHAnsi" w:hAnsiTheme="minorHAnsi" w:cstheme="minorHAnsi"/>
          <w:szCs w:val="22"/>
        </w:rPr>
        <w:t xml:space="preserve">stablezca unas pautas para que los operadores económicos conozcan qué importancia tiene la duración de la infracción en la determinación de la duración de la prohibición de contratar y qué grado de correlación se </w:t>
      </w:r>
      <w:r w:rsidR="00357EE8" w:rsidRPr="00ED7E64">
        <w:rPr>
          <w:rFonts w:asciiTheme="minorHAnsi" w:hAnsiTheme="minorHAnsi" w:cstheme="minorHAnsi"/>
          <w:szCs w:val="22"/>
        </w:rPr>
        <w:t xml:space="preserve">contempla </w:t>
      </w:r>
      <w:r w:rsidRPr="00ED7E64">
        <w:rPr>
          <w:rFonts w:asciiTheme="minorHAnsi" w:hAnsiTheme="minorHAnsi" w:cstheme="minorHAnsi"/>
          <w:szCs w:val="22"/>
        </w:rPr>
        <w:t xml:space="preserve">entre estas dos variables. Ello resulta imprescindible para ofrecer </w:t>
      </w:r>
      <w:r w:rsidR="00C21EA4" w:rsidRPr="00ED7E64">
        <w:rPr>
          <w:rFonts w:asciiTheme="minorHAnsi" w:hAnsiTheme="minorHAnsi" w:cstheme="minorHAnsi"/>
          <w:szCs w:val="22"/>
        </w:rPr>
        <w:t>a los sujetos infractores</w:t>
      </w:r>
      <w:r w:rsidRPr="00ED7E64">
        <w:rPr>
          <w:rFonts w:asciiTheme="minorHAnsi" w:hAnsiTheme="minorHAnsi" w:cstheme="minorHAnsi"/>
          <w:szCs w:val="22"/>
        </w:rPr>
        <w:t xml:space="preserve"> una mínima expectativa sobre las consecuencias que pueden aplicarse a sus conductas. A este respecto, cabe enfatizar </w:t>
      </w:r>
      <w:r w:rsidR="00C21EA4" w:rsidRPr="00ED7E64">
        <w:rPr>
          <w:rFonts w:asciiTheme="minorHAnsi" w:hAnsiTheme="minorHAnsi" w:cstheme="minorHAnsi"/>
          <w:szCs w:val="22"/>
        </w:rPr>
        <w:t xml:space="preserve">lo dispuesto en la Comunicación relativo al hecho de que, </w:t>
      </w:r>
      <w:r w:rsidRPr="00ED7E64">
        <w:rPr>
          <w:rFonts w:asciiTheme="minorHAnsi" w:hAnsiTheme="minorHAnsi" w:cstheme="minorHAnsi"/>
          <w:szCs w:val="22"/>
        </w:rPr>
        <w:t xml:space="preserve">«[…] </w:t>
      </w:r>
      <w:r w:rsidRPr="00ED7E64">
        <w:rPr>
          <w:rFonts w:asciiTheme="minorHAnsi" w:hAnsiTheme="minorHAnsi" w:cstheme="minorHAnsi"/>
          <w:i/>
          <w:iCs/>
          <w:szCs w:val="22"/>
        </w:rPr>
        <w:t>a partir de un período muy extenso de la infracción, la duración de la prohibición de contratar sería máxima y por lo tanto a partir de ahí, se quebraría este criterio de proporcionalidad</w:t>
      </w:r>
      <w:r w:rsidRPr="00ED7E64">
        <w:rPr>
          <w:rFonts w:asciiTheme="minorHAnsi" w:hAnsiTheme="minorHAnsi" w:cstheme="minorHAnsi"/>
          <w:szCs w:val="22"/>
        </w:rPr>
        <w:t>»</w:t>
      </w:r>
      <w:r w:rsidR="00C21EA4" w:rsidRPr="00ED7E64">
        <w:rPr>
          <w:rFonts w:asciiTheme="minorHAnsi" w:hAnsiTheme="minorHAnsi" w:cstheme="minorHAnsi"/>
          <w:szCs w:val="22"/>
        </w:rPr>
        <w:t>. P</w:t>
      </w:r>
      <w:r w:rsidRPr="00ED7E64">
        <w:rPr>
          <w:rFonts w:asciiTheme="minorHAnsi" w:hAnsiTheme="minorHAnsi" w:cstheme="minorHAnsi"/>
          <w:szCs w:val="22"/>
        </w:rPr>
        <w:t xml:space="preserve">or consiguiente, en dichos casos la correlación entre las dos variables explicables no sería un criterio correcto </w:t>
      </w:r>
      <w:r w:rsidR="00C21EA4" w:rsidRPr="00ED7E64">
        <w:rPr>
          <w:rFonts w:asciiTheme="minorHAnsi" w:hAnsiTheme="minorHAnsi" w:cstheme="minorHAnsi"/>
          <w:szCs w:val="22"/>
        </w:rPr>
        <w:t>para fijar la duración de la prohibición</w:t>
      </w:r>
      <w:r w:rsidRPr="00ED7E64">
        <w:rPr>
          <w:rFonts w:asciiTheme="minorHAnsi" w:hAnsiTheme="minorHAnsi" w:cstheme="minorHAnsi"/>
          <w:szCs w:val="22"/>
        </w:rPr>
        <w:t>, sino que, para evitar el referido quebrantamiento del principio de proporcionalidad y de, hecho, en aplicación de este</w:t>
      </w:r>
      <w:r w:rsidR="00C21EA4" w:rsidRPr="00ED7E64">
        <w:rPr>
          <w:rFonts w:asciiTheme="minorHAnsi" w:hAnsiTheme="minorHAnsi" w:cstheme="minorHAnsi"/>
          <w:szCs w:val="22"/>
        </w:rPr>
        <w:t>,</w:t>
      </w:r>
      <w:r w:rsidRPr="00ED7E64">
        <w:rPr>
          <w:rFonts w:asciiTheme="minorHAnsi" w:hAnsiTheme="minorHAnsi" w:cstheme="minorHAnsi"/>
          <w:szCs w:val="22"/>
        </w:rPr>
        <w:t xml:space="preserve"> cabría reducir la duración de la prohibición de contratar considerablemente respecto a la que correspondería si se contemplara únicamente la correlación</w:t>
      </w:r>
      <w:r w:rsidR="00C21EA4" w:rsidRPr="00ED7E64">
        <w:rPr>
          <w:rFonts w:asciiTheme="minorHAnsi" w:hAnsiTheme="minorHAnsi" w:cstheme="minorHAnsi"/>
          <w:szCs w:val="22"/>
        </w:rPr>
        <w:t xml:space="preserve"> entre las variables</w:t>
      </w:r>
      <w:r w:rsidRPr="00ED7E64">
        <w:rPr>
          <w:rFonts w:asciiTheme="minorHAnsi" w:hAnsiTheme="minorHAnsi" w:cstheme="minorHAnsi"/>
          <w:szCs w:val="22"/>
        </w:rPr>
        <w:t>.</w:t>
      </w:r>
    </w:p>
    <w:p w14:paraId="266668A9" w14:textId="6AFE7E03" w:rsidR="00C979E6" w:rsidRPr="00ED7E64" w:rsidRDefault="008A20B7" w:rsidP="00A87B86">
      <w:pPr>
        <w:pStyle w:val="BPLLprrafo0"/>
        <w:numPr>
          <w:ilvl w:val="0"/>
          <w:numId w:val="45"/>
        </w:numPr>
        <w:rPr>
          <w:rFonts w:asciiTheme="minorHAnsi" w:hAnsiTheme="minorHAnsi" w:cstheme="minorHAnsi"/>
          <w:szCs w:val="22"/>
        </w:rPr>
      </w:pPr>
      <w:bookmarkStart w:id="5" w:name="_Hlk122367391"/>
      <w:r w:rsidRPr="00ED7E64">
        <w:rPr>
          <w:rFonts w:asciiTheme="minorHAnsi" w:hAnsiTheme="minorHAnsi" w:cstheme="minorHAnsi"/>
          <w:b/>
          <w:bCs/>
          <w:szCs w:val="22"/>
        </w:rPr>
        <w:t xml:space="preserve">CIRCUNSTANCIAS </w:t>
      </w:r>
      <w:r w:rsidR="00BA14B6" w:rsidRPr="00ED7E64">
        <w:rPr>
          <w:rFonts w:asciiTheme="minorHAnsi" w:hAnsiTheme="minorHAnsi" w:cstheme="minorHAnsi"/>
          <w:b/>
          <w:bCs/>
          <w:szCs w:val="22"/>
        </w:rPr>
        <w:t>AGRAVANTES</w:t>
      </w:r>
      <w:r w:rsidR="00C979E6" w:rsidRPr="00ED7E64">
        <w:rPr>
          <w:rFonts w:asciiTheme="minorHAnsi" w:hAnsiTheme="minorHAnsi" w:cstheme="minorHAnsi"/>
          <w:b/>
          <w:bCs/>
          <w:szCs w:val="22"/>
        </w:rPr>
        <w:t xml:space="preserve"> Y ATENUANTES</w:t>
      </w:r>
    </w:p>
    <w:bookmarkEnd w:id="5"/>
    <w:p w14:paraId="2F684E0A" w14:textId="0F2CF53E" w:rsidR="008A20B7" w:rsidRPr="00ED7E64" w:rsidRDefault="008A20B7"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La Comunicación no determina cuáles son las circunstancias agravantes y atenuantes</w:t>
      </w:r>
      <w:r w:rsidR="000B4395" w:rsidRPr="00ED7E64">
        <w:rPr>
          <w:rFonts w:asciiTheme="minorHAnsi" w:hAnsiTheme="minorHAnsi" w:cstheme="minorHAnsi"/>
          <w:szCs w:val="22"/>
        </w:rPr>
        <w:t xml:space="preserve"> que la CNMC tendrá en consideración al aplicar la prohibición de contratar. </w:t>
      </w:r>
      <w:r w:rsidR="00181184" w:rsidRPr="00ED7E64">
        <w:rPr>
          <w:rFonts w:asciiTheme="minorHAnsi" w:hAnsiTheme="minorHAnsi" w:cstheme="minorHAnsi"/>
          <w:szCs w:val="22"/>
        </w:rPr>
        <w:t>A este respecto,</w:t>
      </w:r>
      <w:r w:rsidR="000B4395" w:rsidRPr="00ED7E64">
        <w:rPr>
          <w:rFonts w:asciiTheme="minorHAnsi" w:hAnsiTheme="minorHAnsi" w:cstheme="minorHAnsi"/>
          <w:szCs w:val="22"/>
        </w:rPr>
        <w:t xml:space="preserve"> consideramos que deberían valorarse las establecidas en el artículo 64, apartados 2 y 3, respectivamente, de la </w:t>
      </w:r>
      <w:r w:rsidR="00A573FA" w:rsidRPr="00ED7E64">
        <w:rPr>
          <w:rFonts w:asciiTheme="minorHAnsi" w:hAnsiTheme="minorHAnsi" w:cstheme="minorHAnsi"/>
          <w:szCs w:val="22"/>
        </w:rPr>
        <w:t>LDC</w:t>
      </w:r>
      <w:r w:rsidR="006C2257" w:rsidRPr="00ED7E64">
        <w:rPr>
          <w:rFonts w:asciiTheme="minorHAnsi" w:hAnsiTheme="minorHAnsi" w:cstheme="minorHAnsi"/>
          <w:szCs w:val="22"/>
        </w:rPr>
        <w:t>,</w:t>
      </w:r>
      <w:r w:rsidR="00C21EA4" w:rsidRPr="00ED7E64">
        <w:rPr>
          <w:rFonts w:asciiTheme="minorHAnsi" w:hAnsiTheme="minorHAnsi" w:cstheme="minorHAnsi"/>
          <w:szCs w:val="22"/>
        </w:rPr>
        <w:t xml:space="preserve"> relativas a la determinación del importe de las sanciones</w:t>
      </w:r>
      <w:r w:rsidR="00181184" w:rsidRPr="00ED7E64">
        <w:rPr>
          <w:rFonts w:asciiTheme="minorHAnsi" w:hAnsiTheme="minorHAnsi" w:cstheme="minorHAnsi"/>
          <w:szCs w:val="22"/>
        </w:rPr>
        <w:t>. La referida</w:t>
      </w:r>
      <w:r w:rsidR="006C2257" w:rsidRPr="00ED7E64">
        <w:rPr>
          <w:rFonts w:asciiTheme="minorHAnsi" w:hAnsiTheme="minorHAnsi" w:cstheme="minorHAnsi"/>
          <w:szCs w:val="22"/>
        </w:rPr>
        <w:t xml:space="preserve"> valoración se realiza a continuación.</w:t>
      </w:r>
    </w:p>
    <w:p w14:paraId="122D7D4A" w14:textId="55CADF47" w:rsidR="00B77CD4" w:rsidRPr="00ED7E64" w:rsidRDefault="008A20B7" w:rsidP="00A87B86">
      <w:pPr>
        <w:pStyle w:val="BPLLprrafo0"/>
        <w:numPr>
          <w:ilvl w:val="0"/>
          <w:numId w:val="46"/>
        </w:numPr>
        <w:rPr>
          <w:rFonts w:asciiTheme="minorHAnsi" w:hAnsiTheme="minorHAnsi" w:cstheme="minorHAnsi"/>
          <w:szCs w:val="22"/>
        </w:rPr>
      </w:pPr>
      <w:r w:rsidRPr="00ED7E64">
        <w:rPr>
          <w:rFonts w:asciiTheme="minorHAnsi" w:hAnsiTheme="minorHAnsi" w:cstheme="minorHAnsi"/>
          <w:b/>
          <w:bCs/>
          <w:szCs w:val="22"/>
        </w:rPr>
        <w:t xml:space="preserve">CIRCUNSTANCIAS </w:t>
      </w:r>
      <w:r w:rsidR="00C979E6" w:rsidRPr="00ED7E64">
        <w:rPr>
          <w:rFonts w:asciiTheme="minorHAnsi" w:hAnsiTheme="minorHAnsi" w:cstheme="minorHAnsi"/>
          <w:b/>
          <w:bCs/>
          <w:szCs w:val="22"/>
        </w:rPr>
        <w:t>AGRAVANTES</w:t>
      </w:r>
      <w:r w:rsidR="00AD763B" w:rsidRPr="00ED7E64">
        <w:rPr>
          <w:rFonts w:asciiTheme="minorHAnsi" w:hAnsiTheme="minorHAnsi" w:cstheme="minorHAnsi"/>
          <w:szCs w:val="22"/>
        </w:rPr>
        <w:t xml:space="preserve"> </w:t>
      </w:r>
    </w:p>
    <w:p w14:paraId="0943DAFE" w14:textId="62B493C5" w:rsidR="000D42EC" w:rsidRPr="00ED7E64" w:rsidRDefault="006C2257"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En relación con las circunstancias agravantes</w:t>
      </w:r>
      <w:r w:rsidR="000D42EC" w:rsidRPr="00ED7E64">
        <w:rPr>
          <w:rFonts w:asciiTheme="minorHAnsi" w:hAnsiTheme="minorHAnsi" w:cstheme="minorHAnsi"/>
          <w:szCs w:val="22"/>
        </w:rPr>
        <w:t xml:space="preserve"> previstas </w:t>
      </w:r>
      <w:r w:rsidR="00F50B00" w:rsidRPr="00ED7E64">
        <w:rPr>
          <w:rFonts w:asciiTheme="minorHAnsi" w:hAnsiTheme="minorHAnsi" w:cstheme="minorHAnsi"/>
          <w:szCs w:val="22"/>
        </w:rPr>
        <w:t xml:space="preserve">en la LDC </w:t>
      </w:r>
      <w:r w:rsidR="000D42EC" w:rsidRPr="00ED7E64">
        <w:rPr>
          <w:rFonts w:asciiTheme="minorHAnsi" w:hAnsiTheme="minorHAnsi" w:cstheme="minorHAnsi"/>
          <w:szCs w:val="22"/>
        </w:rPr>
        <w:t xml:space="preserve">para la determinación del importe de las sanciones, consideramos que estas pueden ser valoradas de igual manera para la apreciación de posibles circunstancias agravantes en caso de que la autoridad </w:t>
      </w:r>
      <w:r w:rsidR="00F50B00" w:rsidRPr="00ED7E64">
        <w:rPr>
          <w:rFonts w:asciiTheme="minorHAnsi" w:hAnsiTheme="minorHAnsi" w:cstheme="minorHAnsi"/>
          <w:szCs w:val="22"/>
        </w:rPr>
        <w:t xml:space="preserve">valore </w:t>
      </w:r>
      <w:r w:rsidR="000D42EC" w:rsidRPr="00ED7E64">
        <w:rPr>
          <w:rFonts w:asciiTheme="minorHAnsi" w:hAnsiTheme="minorHAnsi" w:cstheme="minorHAnsi"/>
          <w:szCs w:val="22"/>
        </w:rPr>
        <w:t>la imposición de una prohibición de contratar. A este respecto, cabe recordar que, de acuerdo con lo dispuesto en el artículo 64, apartado 2, de la LDC, se trata de las siguientes circunstancias agravantes:</w:t>
      </w:r>
    </w:p>
    <w:p w14:paraId="10A6D61A" w14:textId="77777777" w:rsidR="000D42EC" w:rsidRPr="00ED7E64" w:rsidRDefault="000D42EC" w:rsidP="00DB48E7">
      <w:pPr>
        <w:pStyle w:val="Default"/>
        <w:spacing w:line="276" w:lineRule="auto"/>
        <w:ind w:left="1360"/>
        <w:jc w:val="both"/>
        <w:rPr>
          <w:rFonts w:asciiTheme="minorHAnsi" w:hAnsiTheme="minorHAnsi" w:cstheme="minorHAnsi"/>
          <w:i/>
          <w:iCs/>
          <w:color w:val="auto"/>
          <w:sz w:val="22"/>
          <w:szCs w:val="22"/>
        </w:rPr>
      </w:pPr>
      <w:r w:rsidRPr="00ED7E64">
        <w:rPr>
          <w:rFonts w:asciiTheme="minorHAnsi" w:hAnsiTheme="minorHAnsi" w:cstheme="minorHAnsi"/>
          <w:color w:val="auto"/>
          <w:sz w:val="22"/>
          <w:szCs w:val="22"/>
        </w:rPr>
        <w:t>«</w:t>
      </w:r>
      <w:r w:rsidRPr="00ED7E64">
        <w:rPr>
          <w:rFonts w:asciiTheme="minorHAnsi" w:hAnsiTheme="minorHAnsi" w:cstheme="minorHAnsi"/>
          <w:i/>
          <w:iCs/>
          <w:color w:val="auto"/>
          <w:sz w:val="22"/>
          <w:szCs w:val="22"/>
        </w:rPr>
        <w:t xml:space="preserve">a) La comisión repetida de infracciones tipificadas en la presente Ley. </w:t>
      </w:r>
    </w:p>
    <w:p w14:paraId="23CC09A4" w14:textId="77777777" w:rsidR="000D42EC" w:rsidRPr="00ED7E64" w:rsidRDefault="000D42EC" w:rsidP="00DB48E7">
      <w:pPr>
        <w:pStyle w:val="Default"/>
        <w:spacing w:line="276" w:lineRule="auto"/>
        <w:ind w:left="1360"/>
        <w:jc w:val="both"/>
        <w:rPr>
          <w:rFonts w:asciiTheme="minorHAnsi" w:hAnsiTheme="minorHAnsi" w:cstheme="minorHAnsi"/>
          <w:i/>
          <w:iCs/>
          <w:color w:val="auto"/>
          <w:sz w:val="22"/>
          <w:szCs w:val="22"/>
        </w:rPr>
      </w:pPr>
      <w:r w:rsidRPr="00ED7E64">
        <w:rPr>
          <w:rFonts w:asciiTheme="minorHAnsi" w:hAnsiTheme="minorHAnsi" w:cstheme="minorHAnsi"/>
          <w:i/>
          <w:iCs/>
          <w:color w:val="auto"/>
          <w:sz w:val="22"/>
          <w:szCs w:val="22"/>
        </w:rPr>
        <w:t xml:space="preserve">b) La posición de responsable o instigador de la infracción. </w:t>
      </w:r>
    </w:p>
    <w:p w14:paraId="50674609" w14:textId="24F69C04" w:rsidR="000D42EC" w:rsidRPr="00ED7E64" w:rsidRDefault="000D42EC" w:rsidP="00DB48E7">
      <w:pPr>
        <w:pStyle w:val="Default"/>
        <w:spacing w:line="276" w:lineRule="auto"/>
        <w:ind w:left="1360"/>
        <w:jc w:val="both"/>
        <w:rPr>
          <w:rFonts w:asciiTheme="minorHAnsi" w:hAnsiTheme="minorHAnsi" w:cstheme="minorHAnsi"/>
          <w:i/>
          <w:iCs/>
          <w:color w:val="auto"/>
          <w:sz w:val="22"/>
          <w:szCs w:val="22"/>
        </w:rPr>
      </w:pPr>
      <w:r w:rsidRPr="00ED7E64">
        <w:rPr>
          <w:rFonts w:asciiTheme="minorHAnsi" w:hAnsiTheme="minorHAnsi" w:cstheme="minorHAnsi"/>
          <w:i/>
          <w:iCs/>
          <w:color w:val="auto"/>
          <w:sz w:val="22"/>
          <w:szCs w:val="22"/>
        </w:rPr>
        <w:t xml:space="preserve">c) La adopción de medidas para imponer o garantizar el cumplimiento de las conductas ilícitas. </w:t>
      </w:r>
    </w:p>
    <w:p w14:paraId="4B1D3CAC" w14:textId="35921746" w:rsidR="006C2257" w:rsidRPr="00ED7E64" w:rsidRDefault="000D42EC" w:rsidP="00DB48E7">
      <w:pPr>
        <w:pStyle w:val="Default"/>
        <w:spacing w:line="276" w:lineRule="auto"/>
        <w:ind w:left="1360"/>
        <w:jc w:val="both"/>
        <w:rPr>
          <w:rFonts w:asciiTheme="minorHAnsi" w:hAnsiTheme="minorHAnsi" w:cstheme="minorHAnsi"/>
          <w:color w:val="auto"/>
          <w:sz w:val="22"/>
          <w:szCs w:val="22"/>
        </w:rPr>
      </w:pPr>
      <w:r w:rsidRPr="00ED7E64">
        <w:rPr>
          <w:rFonts w:asciiTheme="minorHAnsi" w:hAnsiTheme="minorHAnsi" w:cstheme="minorHAnsi"/>
          <w:i/>
          <w:iCs/>
          <w:color w:val="auto"/>
          <w:sz w:val="22"/>
          <w:szCs w:val="22"/>
        </w:rPr>
        <w:t>d) La falta de colaboración u obstrucción de la labor inspectora, sin perjuicio de la posible consideración como infracción independiente según lo previsto en el artículo 62.</w:t>
      </w:r>
      <w:r w:rsidRPr="00ED7E64">
        <w:rPr>
          <w:rFonts w:asciiTheme="minorHAnsi" w:hAnsiTheme="minorHAnsi" w:cstheme="minorHAnsi"/>
          <w:color w:val="auto"/>
          <w:sz w:val="22"/>
          <w:szCs w:val="22"/>
        </w:rPr>
        <w:t xml:space="preserve">» </w:t>
      </w:r>
    </w:p>
    <w:p w14:paraId="4093BB69" w14:textId="77777777" w:rsidR="000D42EC" w:rsidRPr="00ED7E64" w:rsidRDefault="000D42EC" w:rsidP="00A87B86">
      <w:pPr>
        <w:pStyle w:val="Default"/>
        <w:spacing w:line="276" w:lineRule="auto"/>
        <w:ind w:left="680"/>
        <w:jc w:val="both"/>
        <w:rPr>
          <w:rFonts w:asciiTheme="minorHAnsi" w:hAnsiTheme="minorHAnsi" w:cstheme="minorHAnsi"/>
          <w:i/>
          <w:iCs/>
          <w:color w:val="auto"/>
          <w:sz w:val="22"/>
          <w:szCs w:val="22"/>
        </w:rPr>
      </w:pPr>
    </w:p>
    <w:p w14:paraId="7F7684C5" w14:textId="12C2DDA4" w:rsidR="00FD1E2B" w:rsidRPr="00ED7E64" w:rsidRDefault="000D42EC"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Sin embargo, respecto a la circunstancia agravante </w:t>
      </w:r>
      <w:r w:rsidR="0048726D" w:rsidRPr="00ED7E64">
        <w:rPr>
          <w:rFonts w:asciiTheme="minorHAnsi" w:hAnsiTheme="minorHAnsi" w:cstheme="minorHAnsi"/>
          <w:szCs w:val="22"/>
        </w:rPr>
        <w:t xml:space="preserve">consistente en la reincidencia por parte del sujeto infractor, </w:t>
      </w:r>
      <w:r w:rsidR="00110394" w:rsidRPr="00ED7E64">
        <w:rPr>
          <w:rFonts w:asciiTheme="minorHAnsi" w:hAnsiTheme="minorHAnsi" w:cstheme="minorHAnsi"/>
          <w:szCs w:val="22"/>
        </w:rPr>
        <w:t>prevista en e</w:t>
      </w:r>
      <w:r w:rsidR="00121E21" w:rsidRPr="00ED7E64">
        <w:rPr>
          <w:rFonts w:asciiTheme="minorHAnsi" w:hAnsiTheme="minorHAnsi" w:cstheme="minorHAnsi"/>
          <w:szCs w:val="22"/>
        </w:rPr>
        <w:t xml:space="preserve">l subapartado a), </w:t>
      </w:r>
      <w:r w:rsidR="005D67D0" w:rsidRPr="00ED7E64">
        <w:rPr>
          <w:rFonts w:asciiTheme="minorHAnsi" w:hAnsiTheme="minorHAnsi" w:cstheme="minorHAnsi"/>
          <w:szCs w:val="22"/>
        </w:rPr>
        <w:t>la CNMC debe</w:t>
      </w:r>
      <w:r w:rsidR="00FD1E2B" w:rsidRPr="00ED7E64">
        <w:rPr>
          <w:rFonts w:asciiTheme="minorHAnsi" w:hAnsiTheme="minorHAnsi" w:cstheme="minorHAnsi"/>
          <w:szCs w:val="22"/>
        </w:rPr>
        <w:t xml:space="preserve">, en primer lugar, determinar </w:t>
      </w:r>
      <w:r w:rsidR="005D67D0" w:rsidRPr="00ED7E64">
        <w:rPr>
          <w:rFonts w:asciiTheme="minorHAnsi" w:hAnsiTheme="minorHAnsi" w:cstheme="minorHAnsi"/>
          <w:szCs w:val="22"/>
        </w:rPr>
        <w:t xml:space="preserve">qué </w:t>
      </w:r>
      <w:r w:rsidR="00FD1E2B" w:rsidRPr="00ED7E64">
        <w:rPr>
          <w:rFonts w:asciiTheme="minorHAnsi" w:hAnsiTheme="minorHAnsi" w:cstheme="minorHAnsi"/>
          <w:szCs w:val="22"/>
        </w:rPr>
        <w:t xml:space="preserve">infracciones </w:t>
      </w:r>
      <w:r w:rsidR="000E71B7" w:rsidRPr="00ED7E64">
        <w:rPr>
          <w:rFonts w:asciiTheme="minorHAnsi" w:hAnsiTheme="minorHAnsi" w:cstheme="minorHAnsi"/>
          <w:szCs w:val="22"/>
        </w:rPr>
        <w:t>pueden ser</w:t>
      </w:r>
      <w:r w:rsidR="00FD1E2B" w:rsidRPr="00ED7E64">
        <w:rPr>
          <w:rFonts w:asciiTheme="minorHAnsi" w:hAnsiTheme="minorHAnsi" w:cstheme="minorHAnsi"/>
          <w:szCs w:val="22"/>
        </w:rPr>
        <w:t xml:space="preserve"> consideradas para aplicar dicha circunstancia agravante</w:t>
      </w:r>
      <w:r w:rsidR="005D67D0" w:rsidRPr="00ED7E64">
        <w:rPr>
          <w:rFonts w:asciiTheme="minorHAnsi" w:hAnsiTheme="minorHAnsi" w:cstheme="minorHAnsi"/>
          <w:szCs w:val="22"/>
        </w:rPr>
        <w:t xml:space="preserve"> y cómo estas deben valorarse</w:t>
      </w:r>
      <w:r w:rsidR="00FD1E2B" w:rsidRPr="00ED7E64">
        <w:rPr>
          <w:rFonts w:asciiTheme="minorHAnsi" w:hAnsiTheme="minorHAnsi" w:cstheme="minorHAnsi"/>
          <w:szCs w:val="22"/>
        </w:rPr>
        <w:t xml:space="preserve">, y ello por cuanto resulta </w:t>
      </w:r>
      <w:r w:rsidR="000E71B7" w:rsidRPr="00ED7E64">
        <w:rPr>
          <w:rFonts w:asciiTheme="minorHAnsi" w:hAnsiTheme="minorHAnsi" w:cstheme="minorHAnsi"/>
          <w:szCs w:val="22"/>
        </w:rPr>
        <w:t>incongruente</w:t>
      </w:r>
      <w:r w:rsidR="00FD1E2B" w:rsidRPr="00ED7E64">
        <w:rPr>
          <w:rFonts w:asciiTheme="minorHAnsi" w:hAnsiTheme="minorHAnsi" w:cstheme="minorHAnsi"/>
          <w:szCs w:val="22"/>
        </w:rPr>
        <w:t xml:space="preserve"> aplicar</w:t>
      </w:r>
      <w:r w:rsidR="000E71B7" w:rsidRPr="00ED7E64">
        <w:rPr>
          <w:rFonts w:asciiTheme="minorHAnsi" w:hAnsiTheme="minorHAnsi" w:cstheme="minorHAnsi"/>
          <w:szCs w:val="22"/>
        </w:rPr>
        <w:t xml:space="preserve"> </w:t>
      </w:r>
      <w:r w:rsidR="00FD1E2B" w:rsidRPr="00ED7E64">
        <w:rPr>
          <w:rFonts w:asciiTheme="minorHAnsi" w:hAnsiTheme="minorHAnsi" w:cstheme="minorHAnsi"/>
          <w:szCs w:val="22"/>
        </w:rPr>
        <w:t xml:space="preserve">de igual manera la circunstancia agravante a una sociedad que ha cometido, en dos ocasiones, una infracción </w:t>
      </w:r>
      <w:r w:rsidR="001B0FC5" w:rsidRPr="00ED7E64">
        <w:rPr>
          <w:rFonts w:asciiTheme="minorHAnsi" w:hAnsiTheme="minorHAnsi" w:cstheme="minorHAnsi"/>
          <w:szCs w:val="22"/>
        </w:rPr>
        <w:t>grave</w:t>
      </w:r>
      <w:r w:rsidR="00FD1E2B" w:rsidRPr="00ED7E64">
        <w:rPr>
          <w:rFonts w:asciiTheme="minorHAnsi" w:hAnsiTheme="minorHAnsi" w:cstheme="minorHAnsi"/>
          <w:szCs w:val="22"/>
        </w:rPr>
        <w:t xml:space="preserve"> que una sociedad que ha cometido, en más de dos ocasiones, infracciones muy graves. Por ende, la autoridad debería determinar exactamente cómo ponderará </w:t>
      </w:r>
      <w:r w:rsidR="000E71B7" w:rsidRPr="00ED7E64">
        <w:rPr>
          <w:rFonts w:asciiTheme="minorHAnsi" w:hAnsiTheme="minorHAnsi" w:cstheme="minorHAnsi"/>
          <w:szCs w:val="22"/>
        </w:rPr>
        <w:t>esta circunstancia agravante.</w:t>
      </w:r>
    </w:p>
    <w:p w14:paraId="34974E81" w14:textId="684EFBBD" w:rsidR="00925515" w:rsidRPr="00ED7E64" w:rsidRDefault="00A83811"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Asimismo, la autoridad debería considerar el tamaño de la sociedad en cuestión</w:t>
      </w:r>
      <w:r w:rsidR="00925515" w:rsidRPr="00ED7E64">
        <w:rPr>
          <w:rFonts w:asciiTheme="minorHAnsi" w:hAnsiTheme="minorHAnsi" w:cstheme="minorHAnsi"/>
          <w:szCs w:val="22"/>
        </w:rPr>
        <w:t xml:space="preserve"> puesto que existe una correlación </w:t>
      </w:r>
      <w:r w:rsidR="000E71B7" w:rsidRPr="00ED7E64">
        <w:rPr>
          <w:rFonts w:asciiTheme="minorHAnsi" w:hAnsiTheme="minorHAnsi" w:cstheme="minorHAnsi"/>
          <w:szCs w:val="22"/>
        </w:rPr>
        <w:t xml:space="preserve">positiva </w:t>
      </w:r>
      <w:r w:rsidR="00925515" w:rsidRPr="00ED7E64">
        <w:rPr>
          <w:rFonts w:asciiTheme="minorHAnsi" w:hAnsiTheme="minorHAnsi" w:cstheme="minorHAnsi"/>
          <w:szCs w:val="22"/>
        </w:rPr>
        <w:t xml:space="preserve">con la posibilidad de cometer infracciones de derecho de la competencia </w:t>
      </w:r>
      <w:r w:rsidR="000E71B7" w:rsidRPr="00ED7E64">
        <w:rPr>
          <w:rFonts w:asciiTheme="minorHAnsi" w:hAnsiTheme="minorHAnsi" w:cstheme="minorHAnsi"/>
          <w:szCs w:val="22"/>
        </w:rPr>
        <w:t>y ello por cuanto</w:t>
      </w:r>
      <w:r w:rsidR="00925515" w:rsidRPr="00ED7E64">
        <w:rPr>
          <w:rFonts w:asciiTheme="minorHAnsi" w:hAnsiTheme="minorHAnsi" w:cstheme="minorHAnsi"/>
          <w:szCs w:val="22"/>
        </w:rPr>
        <w:t>, a mayor tamaño, más exposición a la posibilidad de cometerlas</w:t>
      </w:r>
      <w:r w:rsidR="000E71B7" w:rsidRPr="00ED7E64">
        <w:rPr>
          <w:rFonts w:asciiTheme="minorHAnsi" w:hAnsiTheme="minorHAnsi" w:cstheme="minorHAnsi"/>
          <w:szCs w:val="22"/>
        </w:rPr>
        <w:t xml:space="preserve"> -incluso</w:t>
      </w:r>
      <w:r w:rsidR="00925515" w:rsidRPr="00ED7E64">
        <w:rPr>
          <w:rFonts w:asciiTheme="minorHAnsi" w:hAnsiTheme="minorHAnsi" w:cstheme="minorHAnsi"/>
          <w:szCs w:val="22"/>
        </w:rPr>
        <w:t xml:space="preserve"> aunque estas se produzcan por negligencia y no por dolo o culpa</w:t>
      </w:r>
      <w:r w:rsidR="000E71B7" w:rsidRPr="00ED7E64">
        <w:rPr>
          <w:rFonts w:asciiTheme="minorHAnsi" w:hAnsiTheme="minorHAnsi" w:cstheme="minorHAnsi"/>
          <w:szCs w:val="22"/>
        </w:rPr>
        <w:t>-</w:t>
      </w:r>
      <w:r w:rsidR="00925515" w:rsidRPr="00ED7E64">
        <w:rPr>
          <w:rFonts w:asciiTheme="minorHAnsi" w:hAnsiTheme="minorHAnsi" w:cstheme="minorHAnsi"/>
          <w:szCs w:val="22"/>
        </w:rPr>
        <w:t xml:space="preserve">, y ello por cuanto </w:t>
      </w:r>
      <w:r w:rsidR="000E71B7" w:rsidRPr="00ED7E64">
        <w:rPr>
          <w:rFonts w:asciiTheme="minorHAnsi" w:hAnsiTheme="minorHAnsi" w:cstheme="minorHAnsi"/>
          <w:szCs w:val="22"/>
        </w:rPr>
        <w:t>las sociedades de mayor tamaño</w:t>
      </w:r>
      <w:r w:rsidR="00925515" w:rsidRPr="00ED7E64">
        <w:rPr>
          <w:rFonts w:asciiTheme="minorHAnsi" w:hAnsiTheme="minorHAnsi" w:cstheme="minorHAnsi"/>
          <w:szCs w:val="22"/>
        </w:rPr>
        <w:t xml:space="preserve">, por ejemplo, </w:t>
      </w:r>
      <w:r w:rsidR="00AD763B" w:rsidRPr="00ED7E64">
        <w:rPr>
          <w:rFonts w:asciiTheme="minorHAnsi" w:hAnsiTheme="minorHAnsi" w:cstheme="minorHAnsi"/>
          <w:szCs w:val="22"/>
        </w:rPr>
        <w:t>notifica</w:t>
      </w:r>
      <w:r w:rsidR="000E71B7" w:rsidRPr="00ED7E64">
        <w:rPr>
          <w:rFonts w:asciiTheme="minorHAnsi" w:hAnsiTheme="minorHAnsi" w:cstheme="minorHAnsi"/>
          <w:szCs w:val="22"/>
        </w:rPr>
        <w:t>n más asiduamente</w:t>
      </w:r>
      <w:r w:rsidR="00AD763B" w:rsidRPr="00ED7E64">
        <w:rPr>
          <w:rFonts w:asciiTheme="minorHAnsi" w:hAnsiTheme="minorHAnsi" w:cstheme="minorHAnsi"/>
          <w:szCs w:val="22"/>
        </w:rPr>
        <w:t xml:space="preserve"> operaciones ante l</w:t>
      </w:r>
      <w:r w:rsidR="00925515" w:rsidRPr="00ED7E64">
        <w:rPr>
          <w:rFonts w:asciiTheme="minorHAnsi" w:hAnsiTheme="minorHAnsi" w:cstheme="minorHAnsi"/>
          <w:szCs w:val="22"/>
        </w:rPr>
        <w:t>as autoridades de la competencia.</w:t>
      </w:r>
    </w:p>
    <w:p w14:paraId="00414BD6" w14:textId="5C159C2E" w:rsidR="00925515" w:rsidRPr="00ED7E64" w:rsidRDefault="00925515" w:rsidP="00DB48E7">
      <w:pPr>
        <w:pStyle w:val="BPLLprrafonumerado"/>
        <w:numPr>
          <w:ilvl w:val="0"/>
          <w:numId w:val="50"/>
        </w:numPr>
        <w:ind w:left="709" w:hanging="709"/>
        <w:rPr>
          <w:rFonts w:asciiTheme="minorHAnsi" w:hAnsiTheme="minorHAnsi" w:cstheme="minorHAnsi"/>
          <w:szCs w:val="22"/>
        </w:rPr>
      </w:pPr>
      <w:bookmarkStart w:id="6" w:name="_Hlk122369258"/>
      <w:r w:rsidRPr="00ED7E64">
        <w:rPr>
          <w:rFonts w:asciiTheme="minorHAnsi" w:hAnsiTheme="minorHAnsi" w:cstheme="minorHAnsi"/>
          <w:szCs w:val="22"/>
        </w:rPr>
        <w:t>Por otro lado, cabría excluir la aplicación de una circunstancia agravante en caso de que la reincidencia se haya producido a raíz de una infracción cometida por negligencia,</w:t>
      </w:r>
      <w:r w:rsidR="000E71B7" w:rsidRPr="00ED7E64">
        <w:rPr>
          <w:rFonts w:asciiTheme="minorHAnsi" w:hAnsiTheme="minorHAnsi" w:cstheme="minorHAnsi"/>
          <w:szCs w:val="22"/>
        </w:rPr>
        <w:t xml:space="preserve"> esto es,</w:t>
      </w:r>
      <w:r w:rsidRPr="00ED7E64">
        <w:rPr>
          <w:rFonts w:asciiTheme="minorHAnsi" w:hAnsiTheme="minorHAnsi" w:cstheme="minorHAnsi"/>
          <w:szCs w:val="22"/>
        </w:rPr>
        <w:t xml:space="preserve"> sin que medie dolo ni culpa.</w:t>
      </w:r>
    </w:p>
    <w:bookmarkEnd w:id="6"/>
    <w:p w14:paraId="660D0C06" w14:textId="29952061" w:rsidR="006C2257" w:rsidRPr="00ED7E64" w:rsidRDefault="006C2257"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Por </w:t>
      </w:r>
      <w:r w:rsidR="00EC6033" w:rsidRPr="00ED7E64">
        <w:rPr>
          <w:rFonts w:asciiTheme="minorHAnsi" w:hAnsiTheme="minorHAnsi" w:cstheme="minorHAnsi"/>
          <w:szCs w:val="22"/>
        </w:rPr>
        <w:t>último</w:t>
      </w:r>
      <w:r w:rsidRPr="00ED7E64">
        <w:rPr>
          <w:rFonts w:asciiTheme="minorHAnsi" w:hAnsiTheme="minorHAnsi" w:cstheme="minorHAnsi"/>
          <w:szCs w:val="22"/>
        </w:rPr>
        <w:t>, no consideramos que deban valorarse otras circunstancias agravantes por parte de l</w:t>
      </w:r>
      <w:r w:rsidR="00987CA0" w:rsidRPr="00ED7E64">
        <w:rPr>
          <w:rFonts w:asciiTheme="minorHAnsi" w:hAnsiTheme="minorHAnsi" w:cstheme="minorHAnsi"/>
          <w:szCs w:val="22"/>
        </w:rPr>
        <w:t>a</w:t>
      </w:r>
      <w:r w:rsidRPr="00ED7E64">
        <w:rPr>
          <w:rFonts w:asciiTheme="minorHAnsi" w:hAnsiTheme="minorHAnsi" w:cstheme="minorHAnsi"/>
          <w:szCs w:val="22"/>
        </w:rPr>
        <w:t xml:space="preserve"> autoridad de la competencia</w:t>
      </w:r>
      <w:r w:rsidR="00EC6033" w:rsidRPr="00ED7E64">
        <w:rPr>
          <w:rFonts w:asciiTheme="minorHAnsi" w:hAnsiTheme="minorHAnsi" w:cstheme="minorHAnsi"/>
          <w:szCs w:val="22"/>
        </w:rPr>
        <w:t xml:space="preserve"> diferentes de las expuestas</w:t>
      </w:r>
      <w:r w:rsidRPr="00ED7E64">
        <w:rPr>
          <w:rFonts w:asciiTheme="minorHAnsi" w:hAnsiTheme="minorHAnsi" w:cstheme="minorHAnsi"/>
          <w:szCs w:val="22"/>
        </w:rPr>
        <w:t xml:space="preserve"> cuando estas consideren la imposición de una determinada prohibición de contratar.</w:t>
      </w:r>
    </w:p>
    <w:p w14:paraId="131CDAD5" w14:textId="3FFE22D8" w:rsidR="00F92176" w:rsidRPr="00ED7E64" w:rsidRDefault="008A20B7" w:rsidP="00A87B86">
      <w:pPr>
        <w:pStyle w:val="BPLLprrafo0"/>
        <w:numPr>
          <w:ilvl w:val="0"/>
          <w:numId w:val="46"/>
        </w:numPr>
        <w:rPr>
          <w:rFonts w:asciiTheme="minorHAnsi" w:hAnsiTheme="minorHAnsi" w:cstheme="minorHAnsi"/>
          <w:szCs w:val="22"/>
        </w:rPr>
      </w:pPr>
      <w:r w:rsidRPr="00ED7E64">
        <w:rPr>
          <w:rFonts w:asciiTheme="minorHAnsi" w:hAnsiTheme="minorHAnsi" w:cstheme="minorHAnsi"/>
          <w:b/>
          <w:bCs/>
          <w:szCs w:val="22"/>
        </w:rPr>
        <w:t>CIRCUNSTANCIA</w:t>
      </w:r>
      <w:r w:rsidR="00F36BE0" w:rsidRPr="00ED7E64">
        <w:rPr>
          <w:rFonts w:asciiTheme="minorHAnsi" w:hAnsiTheme="minorHAnsi" w:cstheme="minorHAnsi"/>
          <w:b/>
          <w:bCs/>
          <w:szCs w:val="22"/>
        </w:rPr>
        <w:t>S</w:t>
      </w:r>
      <w:r w:rsidRPr="00ED7E64">
        <w:rPr>
          <w:rFonts w:asciiTheme="minorHAnsi" w:hAnsiTheme="minorHAnsi" w:cstheme="minorHAnsi"/>
          <w:b/>
          <w:bCs/>
          <w:szCs w:val="22"/>
        </w:rPr>
        <w:t xml:space="preserve"> </w:t>
      </w:r>
      <w:r w:rsidR="00BA14B6" w:rsidRPr="00ED7E64">
        <w:rPr>
          <w:rFonts w:asciiTheme="minorHAnsi" w:hAnsiTheme="minorHAnsi" w:cstheme="minorHAnsi"/>
          <w:b/>
          <w:bCs/>
          <w:szCs w:val="22"/>
        </w:rPr>
        <w:t>ATENUANTES</w:t>
      </w:r>
      <w:r w:rsidR="00AD763B" w:rsidRPr="00ED7E64">
        <w:rPr>
          <w:rFonts w:asciiTheme="minorHAnsi" w:hAnsiTheme="minorHAnsi" w:cstheme="minorHAnsi"/>
          <w:szCs w:val="22"/>
        </w:rPr>
        <w:t xml:space="preserve"> </w:t>
      </w:r>
    </w:p>
    <w:p w14:paraId="296B9157" w14:textId="4495DFE2" w:rsidR="00F92176" w:rsidRPr="00ED7E64" w:rsidRDefault="00F92176"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En relación con las circunstancias atenuantes previstas </w:t>
      </w:r>
      <w:r w:rsidR="00F50B00" w:rsidRPr="00ED7E64">
        <w:rPr>
          <w:rFonts w:asciiTheme="minorHAnsi" w:hAnsiTheme="minorHAnsi" w:cstheme="minorHAnsi"/>
          <w:szCs w:val="22"/>
        </w:rPr>
        <w:t xml:space="preserve">en la LDC </w:t>
      </w:r>
      <w:r w:rsidRPr="00ED7E64">
        <w:rPr>
          <w:rFonts w:asciiTheme="minorHAnsi" w:hAnsiTheme="minorHAnsi" w:cstheme="minorHAnsi"/>
          <w:szCs w:val="22"/>
        </w:rPr>
        <w:t xml:space="preserve">para la determinación del importe de las sanciones, consideramos que estas pueden ser valoradas de igual manera para la apreciación de posibles circunstancias atenuantes </w:t>
      </w:r>
      <w:r w:rsidR="00F50B00" w:rsidRPr="00ED7E64">
        <w:rPr>
          <w:rFonts w:asciiTheme="minorHAnsi" w:hAnsiTheme="minorHAnsi" w:cstheme="minorHAnsi"/>
          <w:szCs w:val="22"/>
        </w:rPr>
        <w:t xml:space="preserve">en caso de que la autoridad valore la imposición </w:t>
      </w:r>
      <w:r w:rsidRPr="00ED7E64">
        <w:rPr>
          <w:rFonts w:asciiTheme="minorHAnsi" w:hAnsiTheme="minorHAnsi" w:cstheme="minorHAnsi"/>
          <w:szCs w:val="22"/>
        </w:rPr>
        <w:t>de una prohibición de contratar. A este respecto, cabe recordar que, de acuerdo con lo dispuesto en el artículo 64, apartado 3, de la LDC, se trata de las siguientes circunstancias atenuantes:</w:t>
      </w:r>
    </w:p>
    <w:p w14:paraId="01E594E3" w14:textId="77777777" w:rsidR="00F92176" w:rsidRPr="00ED7E64" w:rsidRDefault="00F92176" w:rsidP="00DB48E7">
      <w:pPr>
        <w:pStyle w:val="Default"/>
        <w:spacing w:line="276" w:lineRule="auto"/>
        <w:ind w:left="1360"/>
        <w:jc w:val="both"/>
        <w:rPr>
          <w:rFonts w:asciiTheme="minorHAnsi" w:hAnsiTheme="minorHAnsi" w:cstheme="minorHAnsi"/>
          <w:i/>
          <w:iCs/>
          <w:color w:val="auto"/>
          <w:sz w:val="22"/>
          <w:szCs w:val="22"/>
        </w:rPr>
      </w:pPr>
      <w:r w:rsidRPr="00ED7E64">
        <w:rPr>
          <w:rFonts w:asciiTheme="minorHAnsi" w:hAnsiTheme="minorHAnsi" w:cstheme="minorHAnsi"/>
          <w:color w:val="auto"/>
          <w:sz w:val="22"/>
          <w:szCs w:val="22"/>
        </w:rPr>
        <w:t>«</w:t>
      </w:r>
      <w:r w:rsidRPr="00ED7E64">
        <w:rPr>
          <w:rFonts w:asciiTheme="minorHAnsi" w:hAnsiTheme="minorHAnsi" w:cstheme="minorHAnsi"/>
          <w:i/>
          <w:iCs/>
          <w:color w:val="auto"/>
          <w:sz w:val="22"/>
          <w:szCs w:val="22"/>
        </w:rPr>
        <w:t xml:space="preserve">a) La realización de actuaciones que pongan fin a la infracción. </w:t>
      </w:r>
    </w:p>
    <w:p w14:paraId="4E93E913" w14:textId="1B61617C" w:rsidR="00F92176" w:rsidRPr="00ED7E64" w:rsidRDefault="00F92176" w:rsidP="00DB48E7">
      <w:pPr>
        <w:pStyle w:val="Default"/>
        <w:spacing w:line="276" w:lineRule="auto"/>
        <w:ind w:left="1360"/>
        <w:jc w:val="both"/>
        <w:rPr>
          <w:rFonts w:asciiTheme="minorHAnsi" w:hAnsiTheme="minorHAnsi" w:cstheme="minorHAnsi"/>
          <w:i/>
          <w:iCs/>
          <w:color w:val="auto"/>
          <w:sz w:val="22"/>
          <w:szCs w:val="22"/>
        </w:rPr>
      </w:pPr>
      <w:r w:rsidRPr="00ED7E64">
        <w:rPr>
          <w:rFonts w:asciiTheme="minorHAnsi" w:hAnsiTheme="minorHAnsi" w:cstheme="minorHAnsi"/>
          <w:i/>
          <w:iCs/>
          <w:color w:val="auto"/>
          <w:sz w:val="22"/>
          <w:szCs w:val="22"/>
        </w:rPr>
        <w:t xml:space="preserve">b) La no aplicación efectiva de las conductas prohibidas. </w:t>
      </w:r>
    </w:p>
    <w:p w14:paraId="51FB1CAC" w14:textId="77777777" w:rsidR="00F92176" w:rsidRPr="00ED7E64" w:rsidRDefault="00F92176" w:rsidP="00DB48E7">
      <w:pPr>
        <w:pStyle w:val="Default"/>
        <w:spacing w:line="276" w:lineRule="auto"/>
        <w:ind w:left="1360"/>
        <w:jc w:val="both"/>
        <w:rPr>
          <w:rFonts w:asciiTheme="minorHAnsi" w:hAnsiTheme="minorHAnsi" w:cstheme="minorHAnsi"/>
          <w:i/>
          <w:iCs/>
          <w:color w:val="auto"/>
          <w:sz w:val="22"/>
          <w:szCs w:val="22"/>
        </w:rPr>
      </w:pPr>
      <w:r w:rsidRPr="00ED7E64">
        <w:rPr>
          <w:rFonts w:asciiTheme="minorHAnsi" w:hAnsiTheme="minorHAnsi" w:cstheme="minorHAnsi"/>
          <w:i/>
          <w:iCs/>
          <w:color w:val="auto"/>
          <w:sz w:val="22"/>
          <w:szCs w:val="22"/>
        </w:rPr>
        <w:t xml:space="preserve">c) La realización de actuaciones tendentes a reparar el daño causado. Se considerará atenuante cualificada el efectivo resarcimiento del daño con anterioridad a que se dicte la resolución. </w:t>
      </w:r>
    </w:p>
    <w:p w14:paraId="2D5498E4" w14:textId="77777777" w:rsidR="00EC6033" w:rsidRPr="00ED7E64" w:rsidRDefault="00F92176" w:rsidP="00DB48E7">
      <w:pPr>
        <w:pStyle w:val="Default"/>
        <w:spacing w:line="276" w:lineRule="auto"/>
        <w:ind w:left="1360"/>
        <w:jc w:val="both"/>
        <w:rPr>
          <w:rFonts w:asciiTheme="minorHAnsi" w:hAnsiTheme="minorHAnsi" w:cstheme="minorHAnsi"/>
          <w:color w:val="auto"/>
          <w:sz w:val="22"/>
          <w:szCs w:val="22"/>
        </w:rPr>
      </w:pPr>
      <w:r w:rsidRPr="00ED7E64">
        <w:rPr>
          <w:rFonts w:asciiTheme="minorHAnsi" w:hAnsiTheme="minorHAnsi" w:cstheme="minorHAnsi"/>
          <w:i/>
          <w:iCs/>
          <w:color w:val="auto"/>
          <w:sz w:val="22"/>
          <w:szCs w:val="22"/>
        </w:rPr>
        <w:t>d) La colaboración activa y efectiva con la Comisión Nacional de la Competencia llevada a cabo fuera de los supuestos de exención y de reducción del importe de la multa regulados en los artículos 65 y 66 de esta Ley.</w:t>
      </w:r>
      <w:r w:rsidRPr="00ED7E64">
        <w:rPr>
          <w:rFonts w:asciiTheme="minorHAnsi" w:hAnsiTheme="minorHAnsi" w:cstheme="minorHAnsi"/>
          <w:color w:val="auto"/>
          <w:sz w:val="22"/>
          <w:szCs w:val="22"/>
        </w:rPr>
        <w:t xml:space="preserve">» </w:t>
      </w:r>
    </w:p>
    <w:p w14:paraId="3E3984C1" w14:textId="77777777" w:rsidR="00773CCF" w:rsidRPr="00ED7E64" w:rsidRDefault="00773CCF" w:rsidP="00773CCF">
      <w:pPr>
        <w:pStyle w:val="Default"/>
        <w:spacing w:line="276" w:lineRule="auto"/>
        <w:jc w:val="both"/>
        <w:rPr>
          <w:rFonts w:asciiTheme="minorHAnsi" w:hAnsiTheme="minorHAnsi" w:cstheme="minorHAnsi"/>
          <w:color w:val="auto"/>
          <w:sz w:val="22"/>
          <w:szCs w:val="22"/>
        </w:rPr>
      </w:pPr>
    </w:p>
    <w:p w14:paraId="4340C5AC" w14:textId="46EE1F36" w:rsidR="00BA14B6" w:rsidRPr="00ED7E64" w:rsidRDefault="00BA14B6" w:rsidP="00A87B86">
      <w:pPr>
        <w:pStyle w:val="BPLLprrafo0"/>
        <w:numPr>
          <w:ilvl w:val="0"/>
          <w:numId w:val="45"/>
        </w:numPr>
        <w:rPr>
          <w:rFonts w:asciiTheme="minorHAnsi" w:hAnsiTheme="minorHAnsi" w:cstheme="minorHAnsi"/>
          <w:b/>
          <w:bCs/>
          <w:szCs w:val="22"/>
        </w:rPr>
      </w:pPr>
      <w:bookmarkStart w:id="7" w:name="_Hlk122369008"/>
      <w:r w:rsidRPr="00ED7E64">
        <w:rPr>
          <w:rFonts w:asciiTheme="minorHAnsi" w:hAnsiTheme="minorHAnsi" w:cstheme="minorHAnsi"/>
          <w:b/>
          <w:bCs/>
          <w:szCs w:val="22"/>
        </w:rPr>
        <w:t>EXENCIONES</w:t>
      </w:r>
      <w:bookmarkEnd w:id="7"/>
    </w:p>
    <w:p w14:paraId="45FA1EAD" w14:textId="029E85A6" w:rsidR="00015230" w:rsidRPr="00ED7E64" w:rsidRDefault="00015230" w:rsidP="00DB48E7">
      <w:pPr>
        <w:pStyle w:val="BPLLprrafonumerado"/>
        <w:numPr>
          <w:ilvl w:val="0"/>
          <w:numId w:val="50"/>
        </w:numPr>
        <w:ind w:left="709" w:hanging="709"/>
        <w:rPr>
          <w:rFonts w:asciiTheme="minorHAnsi" w:hAnsiTheme="minorHAnsi" w:cstheme="minorHAnsi"/>
          <w:szCs w:val="22"/>
        </w:rPr>
      </w:pPr>
      <w:bookmarkStart w:id="8" w:name="_Hlk122369028"/>
      <w:r w:rsidRPr="00ED7E64">
        <w:rPr>
          <w:rFonts w:asciiTheme="minorHAnsi" w:hAnsiTheme="minorHAnsi" w:cstheme="minorHAnsi"/>
          <w:szCs w:val="22"/>
        </w:rPr>
        <w:t xml:space="preserve">En lo que respecta a </w:t>
      </w:r>
      <w:r w:rsidR="006F716E" w:rsidRPr="00ED7E64">
        <w:rPr>
          <w:rFonts w:asciiTheme="minorHAnsi" w:hAnsiTheme="minorHAnsi" w:cstheme="minorHAnsi"/>
          <w:szCs w:val="22"/>
        </w:rPr>
        <w:t>las</w:t>
      </w:r>
      <w:r w:rsidRPr="00ED7E64">
        <w:rPr>
          <w:rFonts w:asciiTheme="minorHAnsi" w:hAnsiTheme="minorHAnsi" w:cstheme="minorHAnsi"/>
          <w:szCs w:val="22"/>
        </w:rPr>
        <w:t xml:space="preserve"> exenciones </w:t>
      </w:r>
      <w:r w:rsidR="006F716E" w:rsidRPr="00ED7E64">
        <w:rPr>
          <w:rFonts w:asciiTheme="minorHAnsi" w:hAnsiTheme="minorHAnsi" w:cstheme="minorHAnsi"/>
          <w:szCs w:val="22"/>
        </w:rPr>
        <w:t>de</w:t>
      </w:r>
      <w:r w:rsidRPr="00ED7E64">
        <w:rPr>
          <w:rFonts w:asciiTheme="minorHAnsi" w:hAnsiTheme="minorHAnsi" w:cstheme="minorHAnsi"/>
          <w:szCs w:val="22"/>
        </w:rPr>
        <w:t xml:space="preserve"> la prohibición de contratar, a </w:t>
      </w:r>
      <w:r w:rsidR="00357A96" w:rsidRPr="00ED7E64">
        <w:rPr>
          <w:rFonts w:asciiTheme="minorHAnsi" w:hAnsiTheme="minorHAnsi" w:cstheme="minorHAnsi"/>
          <w:szCs w:val="22"/>
        </w:rPr>
        <w:t>continuación,</w:t>
      </w:r>
      <w:r w:rsidRPr="00ED7E64">
        <w:rPr>
          <w:rFonts w:asciiTheme="minorHAnsi" w:hAnsiTheme="minorHAnsi" w:cstheme="minorHAnsi"/>
          <w:szCs w:val="22"/>
        </w:rPr>
        <w:t xml:space="preserve"> se sugieren </w:t>
      </w:r>
      <w:r w:rsidR="00063153" w:rsidRPr="00ED7E64">
        <w:rPr>
          <w:rFonts w:asciiTheme="minorHAnsi" w:hAnsiTheme="minorHAnsi" w:cstheme="minorHAnsi"/>
          <w:szCs w:val="22"/>
        </w:rPr>
        <w:t>tres</w:t>
      </w:r>
      <w:r w:rsidRPr="00ED7E64">
        <w:rPr>
          <w:rFonts w:asciiTheme="minorHAnsi" w:hAnsiTheme="minorHAnsi" w:cstheme="minorHAnsi"/>
          <w:szCs w:val="22"/>
        </w:rPr>
        <w:t xml:space="preserve"> supuestos que la CNMC debería de considerar </w:t>
      </w:r>
      <w:r w:rsidR="006F716E" w:rsidRPr="00ED7E64">
        <w:rPr>
          <w:rFonts w:asciiTheme="minorHAnsi" w:hAnsiTheme="minorHAnsi" w:cstheme="minorHAnsi"/>
          <w:szCs w:val="22"/>
        </w:rPr>
        <w:t xml:space="preserve">para añadir </w:t>
      </w:r>
      <w:r w:rsidR="00AB78E3" w:rsidRPr="00ED7E64">
        <w:rPr>
          <w:rFonts w:asciiTheme="minorHAnsi" w:hAnsiTheme="minorHAnsi" w:cstheme="minorHAnsi"/>
          <w:szCs w:val="22"/>
        </w:rPr>
        <w:t>tres</w:t>
      </w:r>
      <w:r w:rsidR="006F716E" w:rsidRPr="00ED7E64">
        <w:rPr>
          <w:rFonts w:asciiTheme="minorHAnsi" w:hAnsiTheme="minorHAnsi" w:cstheme="minorHAnsi"/>
          <w:szCs w:val="22"/>
        </w:rPr>
        <w:t xml:space="preserve"> exenciones adicionales</w:t>
      </w:r>
      <w:r w:rsidRPr="00ED7E64">
        <w:rPr>
          <w:rFonts w:asciiTheme="minorHAnsi" w:hAnsiTheme="minorHAnsi" w:cstheme="minorHAnsi"/>
          <w:szCs w:val="22"/>
        </w:rPr>
        <w:t>.</w:t>
      </w:r>
    </w:p>
    <w:p w14:paraId="6B8BD066" w14:textId="3F5D3073" w:rsidR="009144C4" w:rsidRPr="00ED7E64" w:rsidRDefault="006F716E" w:rsidP="003863FD">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En primer lugar, </w:t>
      </w:r>
      <w:r w:rsidR="009144C4" w:rsidRPr="00ED7E64">
        <w:rPr>
          <w:rFonts w:asciiTheme="minorHAnsi" w:hAnsiTheme="minorHAnsi" w:cstheme="minorHAnsi"/>
          <w:szCs w:val="22"/>
        </w:rPr>
        <w:t xml:space="preserve">tal y como se ha anticipado a lo largo del presente escrito, cabe considerar las </w:t>
      </w:r>
      <w:r w:rsidR="009144C4" w:rsidRPr="00ED7E64">
        <w:rPr>
          <w:rFonts w:asciiTheme="minorHAnsi" w:hAnsiTheme="minorHAnsi" w:cstheme="minorHAnsi"/>
          <w:b/>
          <w:bCs/>
          <w:szCs w:val="22"/>
        </w:rPr>
        <w:t>especificidades del producto</w:t>
      </w:r>
      <w:r w:rsidR="009144C4" w:rsidRPr="00ED7E64">
        <w:rPr>
          <w:rFonts w:asciiTheme="minorHAnsi" w:hAnsiTheme="minorHAnsi" w:cstheme="minorHAnsi"/>
          <w:szCs w:val="22"/>
        </w:rPr>
        <w:t xml:space="preserve"> al que se pretende imponer la prohibición de contratar. </w:t>
      </w:r>
      <w:r w:rsidR="003863FD" w:rsidRPr="00ED7E64">
        <w:rPr>
          <w:rFonts w:asciiTheme="minorHAnsi" w:hAnsiTheme="minorHAnsi" w:cstheme="minorHAnsi"/>
          <w:szCs w:val="22"/>
        </w:rPr>
        <w:t>Así, e</w:t>
      </w:r>
      <w:r w:rsidR="009144C4" w:rsidRPr="00ED7E64">
        <w:rPr>
          <w:rFonts w:asciiTheme="minorHAnsi" w:hAnsiTheme="minorHAnsi" w:cstheme="minorHAnsi"/>
          <w:szCs w:val="22"/>
        </w:rPr>
        <w:t xml:space="preserve">n el caso del sector farmacéutico, cabe tener en cuenta que dicha imposición se concreta en la potencial lesión del derecho constitucional a la salud de los ciudadanos y en la afección del adecuado funcionamiento del Sistema Nacional de Salud. En concreto, existen numerosas enfermedades, muchas de ellas especialmente graves en las que la única terapia clínica disponible (o la más eficaz conocida) es la que suministra un determinado laboratorio. Por tanto, si se prohibiera contratar con el sector público a un laboratorio que comercializa estos medicamentos, el perjuicio para los pacientes (usuarios del Sistema Nacional de Salud) y para el propio sistema sanitario público sería evidente. </w:t>
      </w:r>
    </w:p>
    <w:p w14:paraId="6DC6CCF7" w14:textId="66E5A7D4" w:rsidR="009144C4" w:rsidRPr="00ED7E64" w:rsidRDefault="009144C4" w:rsidP="009144C4">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A este respecto, cabe recordar que los medicamentos innovadores financiados carecen de equivalentes terapéuticos en el mercado</w:t>
      </w:r>
      <w:r w:rsidR="003863FD" w:rsidRPr="00ED7E64">
        <w:rPr>
          <w:rFonts w:asciiTheme="minorHAnsi" w:hAnsiTheme="minorHAnsi" w:cstheme="minorHAnsi"/>
          <w:szCs w:val="22"/>
        </w:rPr>
        <w:t xml:space="preserve">, es decir, </w:t>
      </w:r>
      <w:r w:rsidRPr="00ED7E64">
        <w:rPr>
          <w:rFonts w:asciiTheme="minorHAnsi" w:hAnsiTheme="minorHAnsi" w:cstheme="minorHAnsi"/>
          <w:szCs w:val="22"/>
        </w:rPr>
        <w:t xml:space="preserve">son irremplazables y, por consiguiente, no pueden salir del mercado sin generar </w:t>
      </w:r>
      <w:r w:rsidRPr="00ED7E64">
        <w:rPr>
          <w:rFonts w:asciiTheme="minorHAnsi" w:hAnsiTheme="minorHAnsi" w:cstheme="minorHAnsi"/>
          <w:i/>
          <w:iCs/>
          <w:szCs w:val="22"/>
        </w:rPr>
        <w:t>ipso facto</w:t>
      </w:r>
      <w:r w:rsidRPr="00ED7E64">
        <w:rPr>
          <w:rFonts w:asciiTheme="minorHAnsi" w:hAnsiTheme="minorHAnsi" w:cstheme="minorHAnsi"/>
          <w:szCs w:val="22"/>
        </w:rPr>
        <w:t xml:space="preserve"> una laguna terapéutica</w:t>
      </w:r>
      <w:r w:rsidR="00B51A96" w:rsidRPr="00ED7E64">
        <w:rPr>
          <w:rFonts w:asciiTheme="minorHAnsi" w:hAnsiTheme="minorHAnsi" w:cstheme="minorHAnsi"/>
          <w:szCs w:val="22"/>
        </w:rPr>
        <w:t>.</w:t>
      </w:r>
    </w:p>
    <w:p w14:paraId="7AE98477" w14:textId="4A362F22" w:rsidR="009144C4" w:rsidRPr="00ED7E64" w:rsidRDefault="009144C4" w:rsidP="009144C4">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Por tanto, en el caso de que el mercado de producto pueda subsumirse en la definición anterior, la CNMC debería aplicar una exención a la prohibición de contratar por cuanto, del análisis del equilibrio necesario entre la defensa de la competencia como bien último a proteger y la exclusión de competidores en determinadas licitaciones como medida propuesta, por las razones expuestas, debe prevalecer la defensa de la competencia.</w:t>
      </w:r>
    </w:p>
    <w:p w14:paraId="66498F0C" w14:textId="52458E48" w:rsidR="00674A95" w:rsidRPr="00ED7E64" w:rsidRDefault="009144C4" w:rsidP="00063153">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En segundo lugar, </w:t>
      </w:r>
      <w:r w:rsidR="006F716E" w:rsidRPr="00ED7E64">
        <w:rPr>
          <w:rFonts w:asciiTheme="minorHAnsi" w:hAnsiTheme="minorHAnsi" w:cstheme="minorHAnsi"/>
          <w:szCs w:val="22"/>
        </w:rPr>
        <w:t>e</w:t>
      </w:r>
      <w:r w:rsidR="009342FE" w:rsidRPr="00ED7E64">
        <w:rPr>
          <w:rFonts w:asciiTheme="minorHAnsi" w:hAnsiTheme="minorHAnsi" w:cstheme="minorHAnsi"/>
          <w:szCs w:val="22"/>
        </w:rPr>
        <w:t xml:space="preserve">n relación </w:t>
      </w:r>
      <w:bookmarkEnd w:id="8"/>
      <w:r w:rsidR="009342FE" w:rsidRPr="00ED7E64">
        <w:rPr>
          <w:rFonts w:asciiTheme="minorHAnsi" w:hAnsiTheme="minorHAnsi" w:cstheme="minorHAnsi"/>
          <w:szCs w:val="22"/>
        </w:rPr>
        <w:t>con la</w:t>
      </w:r>
      <w:r w:rsidR="00015230" w:rsidRPr="00ED7E64">
        <w:rPr>
          <w:rFonts w:asciiTheme="minorHAnsi" w:hAnsiTheme="minorHAnsi" w:cstheme="minorHAnsi"/>
          <w:szCs w:val="22"/>
        </w:rPr>
        <w:t xml:space="preserve"> </w:t>
      </w:r>
      <w:r w:rsidR="009342FE" w:rsidRPr="00ED7E64">
        <w:rPr>
          <w:rFonts w:asciiTheme="minorHAnsi" w:hAnsiTheme="minorHAnsi" w:cstheme="minorHAnsi"/>
          <w:szCs w:val="22"/>
        </w:rPr>
        <w:t>inclusión de un criterio a valorar en la determinación de la imposición de la sanción consistente en la prohibición de contratar sugerid</w:t>
      </w:r>
      <w:r w:rsidR="000759F6" w:rsidRPr="00ED7E64">
        <w:rPr>
          <w:rFonts w:asciiTheme="minorHAnsi" w:hAnsiTheme="minorHAnsi" w:cstheme="minorHAnsi"/>
          <w:szCs w:val="22"/>
        </w:rPr>
        <w:t>a</w:t>
      </w:r>
      <w:r w:rsidR="009342FE" w:rsidRPr="00ED7E64">
        <w:rPr>
          <w:rFonts w:asciiTheme="minorHAnsi" w:hAnsiTheme="minorHAnsi" w:cstheme="minorHAnsi"/>
          <w:szCs w:val="22"/>
        </w:rPr>
        <w:t xml:space="preserve"> en el presente escrito, consistente en </w:t>
      </w:r>
      <w:r w:rsidR="003F1D7A" w:rsidRPr="00ED7E64">
        <w:rPr>
          <w:rFonts w:asciiTheme="minorHAnsi" w:hAnsiTheme="minorHAnsi" w:cstheme="minorHAnsi"/>
          <w:szCs w:val="22"/>
        </w:rPr>
        <w:t xml:space="preserve">el </w:t>
      </w:r>
      <w:r w:rsidR="003F1D7A" w:rsidRPr="00ED7E64">
        <w:rPr>
          <w:rFonts w:asciiTheme="minorHAnsi" w:hAnsiTheme="minorHAnsi" w:cstheme="minorHAnsi"/>
          <w:b/>
          <w:bCs/>
          <w:szCs w:val="22"/>
        </w:rPr>
        <w:t>origen del volumen de negocios proveniente de contratos con la Administración pública</w:t>
      </w:r>
      <w:r w:rsidR="009342FE" w:rsidRPr="00ED7E64">
        <w:rPr>
          <w:rFonts w:asciiTheme="minorHAnsi" w:hAnsiTheme="minorHAnsi" w:cstheme="minorHAnsi"/>
          <w:szCs w:val="22"/>
        </w:rPr>
        <w:t xml:space="preserve">, cabe exigir </w:t>
      </w:r>
      <w:r w:rsidR="007211BF" w:rsidRPr="00ED7E64">
        <w:rPr>
          <w:rFonts w:asciiTheme="minorHAnsi" w:hAnsiTheme="minorHAnsi" w:cstheme="minorHAnsi"/>
          <w:szCs w:val="22"/>
        </w:rPr>
        <w:t xml:space="preserve">la apreciación de </w:t>
      </w:r>
      <w:r w:rsidR="009342FE" w:rsidRPr="00ED7E64">
        <w:rPr>
          <w:rFonts w:asciiTheme="minorHAnsi" w:hAnsiTheme="minorHAnsi" w:cstheme="minorHAnsi"/>
          <w:szCs w:val="22"/>
        </w:rPr>
        <w:t xml:space="preserve">una exención cuando </w:t>
      </w:r>
      <w:r w:rsidR="007211BF" w:rsidRPr="00ED7E64">
        <w:rPr>
          <w:rFonts w:asciiTheme="minorHAnsi" w:hAnsiTheme="minorHAnsi" w:cstheme="minorHAnsi"/>
          <w:szCs w:val="22"/>
        </w:rPr>
        <w:t xml:space="preserve">la sociedad es completamente dependiente de la contratación pública puesto que </w:t>
      </w:r>
      <w:r w:rsidR="000759F6" w:rsidRPr="00ED7E64">
        <w:rPr>
          <w:rFonts w:asciiTheme="minorHAnsi" w:hAnsiTheme="minorHAnsi" w:cstheme="minorHAnsi"/>
          <w:szCs w:val="22"/>
        </w:rPr>
        <w:t>la prohibición de contratar</w:t>
      </w:r>
      <w:r w:rsidR="007211BF" w:rsidRPr="00ED7E64">
        <w:rPr>
          <w:rFonts w:asciiTheme="minorHAnsi" w:hAnsiTheme="minorHAnsi" w:cstheme="minorHAnsi"/>
          <w:szCs w:val="22"/>
        </w:rPr>
        <w:t xml:space="preserve"> produciría un efecto todavía más dañino p</w:t>
      </w:r>
      <w:r w:rsidR="000759F6" w:rsidRPr="00ED7E64">
        <w:rPr>
          <w:rFonts w:asciiTheme="minorHAnsi" w:hAnsiTheme="minorHAnsi" w:cstheme="minorHAnsi"/>
          <w:szCs w:val="22"/>
        </w:rPr>
        <w:t>ara</w:t>
      </w:r>
      <w:r w:rsidR="007211BF" w:rsidRPr="00ED7E64">
        <w:rPr>
          <w:rFonts w:asciiTheme="minorHAnsi" w:hAnsiTheme="minorHAnsi" w:cstheme="minorHAnsi"/>
          <w:szCs w:val="22"/>
        </w:rPr>
        <w:t xml:space="preserve"> la competencia: la exclusión de un competidor relevante.</w:t>
      </w:r>
      <w:r w:rsidR="007B190E" w:rsidRPr="00ED7E64">
        <w:rPr>
          <w:rFonts w:asciiTheme="minorHAnsi" w:hAnsiTheme="minorHAnsi" w:cstheme="minorHAnsi"/>
          <w:szCs w:val="22"/>
        </w:rPr>
        <w:t xml:space="preserve"> </w:t>
      </w:r>
    </w:p>
    <w:p w14:paraId="12781DA6" w14:textId="77777777" w:rsidR="00CB0D8D" w:rsidRPr="00ED7E64" w:rsidRDefault="007B190E"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Para apreciar tal exención, la autoridad debe </w:t>
      </w:r>
      <w:r w:rsidR="004C6529" w:rsidRPr="00ED7E64">
        <w:rPr>
          <w:rFonts w:asciiTheme="minorHAnsi" w:hAnsiTheme="minorHAnsi" w:cstheme="minorHAnsi"/>
          <w:szCs w:val="22"/>
        </w:rPr>
        <w:t>corroborar que efectivamente</w:t>
      </w:r>
      <w:r w:rsidRPr="00ED7E64">
        <w:rPr>
          <w:rFonts w:asciiTheme="minorHAnsi" w:hAnsiTheme="minorHAnsi" w:cstheme="minorHAnsi"/>
          <w:szCs w:val="22"/>
        </w:rPr>
        <w:t xml:space="preserve"> la imposición de la prohibición de contratar </w:t>
      </w:r>
      <w:r w:rsidR="004C6529" w:rsidRPr="00ED7E64">
        <w:rPr>
          <w:rFonts w:asciiTheme="minorHAnsi" w:hAnsiTheme="minorHAnsi" w:cstheme="minorHAnsi"/>
          <w:szCs w:val="22"/>
        </w:rPr>
        <w:t>causaría</w:t>
      </w:r>
      <w:r w:rsidRPr="00ED7E64">
        <w:rPr>
          <w:rFonts w:asciiTheme="minorHAnsi" w:hAnsiTheme="minorHAnsi" w:cstheme="minorHAnsi"/>
          <w:szCs w:val="22"/>
        </w:rPr>
        <w:t xml:space="preserve"> un desequilibrio en la actividad de la sociedad</w:t>
      </w:r>
      <w:r w:rsidR="004C6529" w:rsidRPr="00ED7E64">
        <w:rPr>
          <w:rFonts w:asciiTheme="minorHAnsi" w:hAnsiTheme="minorHAnsi" w:cstheme="minorHAnsi"/>
          <w:szCs w:val="22"/>
        </w:rPr>
        <w:t xml:space="preserve"> de tal calibre</w:t>
      </w:r>
      <w:r w:rsidRPr="00ED7E64">
        <w:rPr>
          <w:rFonts w:asciiTheme="minorHAnsi" w:hAnsiTheme="minorHAnsi" w:cstheme="minorHAnsi"/>
          <w:szCs w:val="22"/>
        </w:rPr>
        <w:t xml:space="preserve"> que </w:t>
      </w:r>
      <w:r w:rsidR="004C6529" w:rsidRPr="00ED7E64">
        <w:rPr>
          <w:rFonts w:asciiTheme="minorHAnsi" w:hAnsiTheme="minorHAnsi" w:cstheme="minorHAnsi"/>
          <w:szCs w:val="22"/>
        </w:rPr>
        <w:t>le privaría práctica o totalmente el desarrollo de</w:t>
      </w:r>
      <w:r w:rsidRPr="00ED7E64">
        <w:rPr>
          <w:rFonts w:asciiTheme="minorHAnsi" w:hAnsiTheme="minorHAnsi" w:cstheme="minorHAnsi"/>
          <w:szCs w:val="22"/>
        </w:rPr>
        <w:t xml:space="preserve"> su negocio y, consecuentemente, afectar</w:t>
      </w:r>
      <w:r w:rsidR="004C6529" w:rsidRPr="00ED7E64">
        <w:rPr>
          <w:rFonts w:asciiTheme="minorHAnsi" w:hAnsiTheme="minorHAnsi" w:cstheme="minorHAnsi"/>
          <w:szCs w:val="22"/>
        </w:rPr>
        <w:t xml:space="preserve">ía </w:t>
      </w:r>
      <w:r w:rsidRPr="00ED7E64">
        <w:rPr>
          <w:rFonts w:asciiTheme="minorHAnsi" w:hAnsiTheme="minorHAnsi" w:cstheme="minorHAnsi"/>
          <w:szCs w:val="22"/>
        </w:rPr>
        <w:t xml:space="preserve">a su viabilidad en el corto plazo. </w:t>
      </w:r>
      <w:r w:rsidR="00991E14" w:rsidRPr="00ED7E64">
        <w:rPr>
          <w:rFonts w:asciiTheme="minorHAnsi" w:hAnsiTheme="minorHAnsi" w:cstheme="minorHAnsi"/>
          <w:szCs w:val="22"/>
        </w:rPr>
        <w:t>La principal variable que la autoridad deberá tener en cuenta es, sin lugar a duda, e</w:t>
      </w:r>
      <w:r w:rsidRPr="00ED7E64">
        <w:rPr>
          <w:rFonts w:asciiTheme="minorHAnsi" w:hAnsiTheme="minorHAnsi" w:cstheme="minorHAnsi"/>
          <w:szCs w:val="22"/>
        </w:rPr>
        <w:t>l porcentaje de los ingresos de la sociedad que dependen exclusivamente del sector público</w:t>
      </w:r>
      <w:r w:rsidR="00991E14" w:rsidRPr="00ED7E64">
        <w:rPr>
          <w:rFonts w:asciiTheme="minorHAnsi" w:hAnsiTheme="minorHAnsi" w:cstheme="minorHAnsi"/>
          <w:szCs w:val="22"/>
        </w:rPr>
        <w:t>.</w:t>
      </w:r>
      <w:r w:rsidR="002B6FD3" w:rsidRPr="00ED7E64">
        <w:rPr>
          <w:rFonts w:asciiTheme="minorHAnsi" w:hAnsiTheme="minorHAnsi" w:cstheme="minorHAnsi"/>
          <w:szCs w:val="22"/>
        </w:rPr>
        <w:t xml:space="preserve"> </w:t>
      </w:r>
    </w:p>
    <w:p w14:paraId="717A741A" w14:textId="3D0C600F" w:rsidR="003F1D7A" w:rsidRPr="00ED7E64" w:rsidRDefault="007B190E" w:rsidP="00DB48E7">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 xml:space="preserve">La aplicación de </w:t>
      </w:r>
      <w:r w:rsidR="002B6FD3" w:rsidRPr="00ED7E64">
        <w:rPr>
          <w:rFonts w:asciiTheme="minorHAnsi" w:hAnsiTheme="minorHAnsi" w:cstheme="minorHAnsi"/>
          <w:szCs w:val="22"/>
        </w:rPr>
        <w:t>esta</w:t>
      </w:r>
      <w:r w:rsidRPr="00ED7E64">
        <w:rPr>
          <w:rFonts w:asciiTheme="minorHAnsi" w:hAnsiTheme="minorHAnsi" w:cstheme="minorHAnsi"/>
          <w:szCs w:val="22"/>
        </w:rPr>
        <w:t xml:space="preserve"> exención </w:t>
      </w:r>
      <w:r w:rsidR="009342FE" w:rsidRPr="00ED7E64">
        <w:rPr>
          <w:rFonts w:asciiTheme="minorHAnsi" w:hAnsiTheme="minorHAnsi" w:cstheme="minorHAnsi"/>
          <w:szCs w:val="22"/>
        </w:rPr>
        <w:t xml:space="preserve">no contradice de forma alguna </w:t>
      </w:r>
      <w:r w:rsidR="00CB0D8D" w:rsidRPr="00ED7E64">
        <w:rPr>
          <w:rFonts w:asciiTheme="minorHAnsi" w:hAnsiTheme="minorHAnsi" w:cstheme="minorHAnsi"/>
          <w:szCs w:val="22"/>
        </w:rPr>
        <w:t>a</w:t>
      </w:r>
      <w:r w:rsidR="009342FE" w:rsidRPr="00ED7E64">
        <w:rPr>
          <w:rFonts w:asciiTheme="minorHAnsi" w:hAnsiTheme="minorHAnsi" w:cstheme="minorHAnsi"/>
          <w:szCs w:val="22"/>
        </w:rPr>
        <w:t xml:space="preserve">l principio de disuasión por cuanto la sociedad sería igualmente sancionada mediante la imposición de una </w:t>
      </w:r>
      <w:r w:rsidR="002B6FD3" w:rsidRPr="00ED7E64">
        <w:rPr>
          <w:rFonts w:asciiTheme="minorHAnsi" w:hAnsiTheme="minorHAnsi" w:cstheme="minorHAnsi"/>
          <w:szCs w:val="22"/>
        </w:rPr>
        <w:t xml:space="preserve">multa, y ello </w:t>
      </w:r>
      <w:r w:rsidR="009342FE" w:rsidRPr="00ED7E64">
        <w:rPr>
          <w:rFonts w:asciiTheme="minorHAnsi" w:hAnsiTheme="minorHAnsi" w:cstheme="minorHAnsi"/>
          <w:szCs w:val="22"/>
        </w:rPr>
        <w:t xml:space="preserve">en aplicación de los mismos criterios que se valoran para la imposición de multas a cualquier otra sociedad. </w:t>
      </w:r>
    </w:p>
    <w:p w14:paraId="11ACB988" w14:textId="240BCE80" w:rsidR="00323D85" w:rsidRPr="00ED7E64" w:rsidRDefault="00CB0D8D" w:rsidP="00DB48E7">
      <w:pPr>
        <w:pStyle w:val="BPLLprrafonumerado"/>
        <w:numPr>
          <w:ilvl w:val="0"/>
          <w:numId w:val="50"/>
        </w:numPr>
        <w:ind w:left="709" w:hanging="709"/>
        <w:rPr>
          <w:rFonts w:asciiTheme="minorHAnsi" w:hAnsiTheme="minorHAnsi" w:cstheme="minorHAnsi"/>
          <w:szCs w:val="22"/>
        </w:rPr>
      </w:pPr>
      <w:bookmarkStart w:id="9" w:name="_Hlk122369037"/>
      <w:r w:rsidRPr="00ED7E64">
        <w:rPr>
          <w:rFonts w:asciiTheme="minorHAnsi" w:hAnsiTheme="minorHAnsi" w:cstheme="minorHAnsi"/>
          <w:szCs w:val="22"/>
        </w:rPr>
        <w:t xml:space="preserve">En </w:t>
      </w:r>
      <w:r w:rsidR="009144C4" w:rsidRPr="00ED7E64">
        <w:rPr>
          <w:rFonts w:asciiTheme="minorHAnsi" w:hAnsiTheme="minorHAnsi" w:cstheme="minorHAnsi"/>
          <w:szCs w:val="22"/>
        </w:rPr>
        <w:t>tercer</w:t>
      </w:r>
      <w:r w:rsidRPr="00ED7E64">
        <w:rPr>
          <w:rFonts w:asciiTheme="minorHAnsi" w:hAnsiTheme="minorHAnsi" w:cstheme="minorHAnsi"/>
          <w:szCs w:val="22"/>
        </w:rPr>
        <w:t xml:space="preserve"> lugar,</w:t>
      </w:r>
      <w:r w:rsidR="00323D85" w:rsidRPr="00ED7E64">
        <w:rPr>
          <w:rFonts w:asciiTheme="minorHAnsi" w:hAnsiTheme="minorHAnsi" w:cstheme="minorHAnsi"/>
          <w:szCs w:val="22"/>
        </w:rPr>
        <w:t xml:space="preserve"> en relación con la propuesta de la Comunicación relativa </w:t>
      </w:r>
      <w:bookmarkEnd w:id="9"/>
      <w:r w:rsidR="00323D85" w:rsidRPr="00ED7E64">
        <w:rPr>
          <w:rFonts w:asciiTheme="minorHAnsi" w:hAnsiTheme="minorHAnsi" w:cstheme="minorHAnsi"/>
          <w:szCs w:val="22"/>
        </w:rPr>
        <w:t xml:space="preserve">a la inclusión de mayores controles en los documentos rectores de la contratación por parte de los órganos de contratación de cara a mitigar los eventuales perjuicios para la Administración, la CNMC propone que ello se valore cuando se dé la siguiente </w:t>
      </w:r>
      <w:r w:rsidR="00323D85" w:rsidRPr="00ED7E64">
        <w:rPr>
          <w:rFonts w:asciiTheme="minorHAnsi" w:hAnsiTheme="minorHAnsi" w:cstheme="minorHAnsi"/>
          <w:b/>
          <w:bCs/>
          <w:szCs w:val="22"/>
        </w:rPr>
        <w:t>casuística</w:t>
      </w:r>
      <w:r w:rsidR="00323D85" w:rsidRPr="00ED7E64">
        <w:rPr>
          <w:rFonts w:asciiTheme="minorHAnsi" w:hAnsiTheme="minorHAnsi" w:cstheme="minorHAnsi"/>
          <w:szCs w:val="22"/>
        </w:rPr>
        <w:t>:</w:t>
      </w:r>
    </w:p>
    <w:p w14:paraId="4096FDB7" w14:textId="0D26F522" w:rsidR="00323D85" w:rsidRPr="00ED7E64" w:rsidRDefault="00323D85" w:rsidP="00A87B86">
      <w:pPr>
        <w:pStyle w:val="BPLLprrafo0"/>
        <w:numPr>
          <w:ilvl w:val="0"/>
          <w:numId w:val="47"/>
        </w:numPr>
        <w:rPr>
          <w:rFonts w:asciiTheme="minorHAnsi" w:hAnsiTheme="minorHAnsi" w:cstheme="minorHAnsi"/>
          <w:szCs w:val="22"/>
        </w:rPr>
      </w:pPr>
      <w:r w:rsidRPr="00ED7E64">
        <w:rPr>
          <w:rFonts w:asciiTheme="minorHAnsi" w:hAnsiTheme="minorHAnsi" w:cstheme="minorHAnsi"/>
          <w:szCs w:val="22"/>
        </w:rPr>
        <w:t>Una infracción del artículo 1 de la LDC en la que hubiese participado la mayoría de los operadores del mercado</w:t>
      </w:r>
      <w:r w:rsidR="00E444CB" w:rsidRPr="00ED7E64">
        <w:rPr>
          <w:rFonts w:asciiTheme="minorHAnsi" w:hAnsiTheme="minorHAnsi" w:cstheme="minorHAnsi"/>
          <w:szCs w:val="22"/>
        </w:rPr>
        <w:t>;</w:t>
      </w:r>
    </w:p>
    <w:p w14:paraId="3833BADB" w14:textId="1FAACE6B" w:rsidR="00323D85" w:rsidRPr="00ED7E64" w:rsidRDefault="00323D85" w:rsidP="00A87B86">
      <w:pPr>
        <w:pStyle w:val="BPLLprrafo0"/>
        <w:numPr>
          <w:ilvl w:val="0"/>
          <w:numId w:val="47"/>
        </w:numPr>
        <w:rPr>
          <w:rFonts w:asciiTheme="minorHAnsi" w:hAnsiTheme="minorHAnsi" w:cstheme="minorHAnsi"/>
          <w:szCs w:val="22"/>
        </w:rPr>
      </w:pPr>
      <w:r w:rsidRPr="00ED7E64">
        <w:rPr>
          <w:rFonts w:asciiTheme="minorHAnsi" w:hAnsiTheme="minorHAnsi" w:cstheme="minorHAnsi"/>
          <w:szCs w:val="22"/>
        </w:rPr>
        <w:t>Una infracción del artículo 1 de la LDC cuando el concurso en licitación pública de una de las empresas infractoras de acuerdo con el artículo 1 de la citada Ley fuera necesaria por su especial relevancia</w:t>
      </w:r>
      <w:r w:rsidR="00E444CB" w:rsidRPr="00ED7E64">
        <w:rPr>
          <w:rFonts w:asciiTheme="minorHAnsi" w:hAnsiTheme="minorHAnsi" w:cstheme="minorHAnsi"/>
          <w:szCs w:val="22"/>
        </w:rPr>
        <w:t xml:space="preserve">, esto es, </w:t>
      </w:r>
      <w:r w:rsidRPr="00ED7E64">
        <w:rPr>
          <w:rFonts w:asciiTheme="minorHAnsi" w:hAnsiTheme="minorHAnsi" w:cstheme="minorHAnsi"/>
          <w:szCs w:val="22"/>
        </w:rPr>
        <w:t xml:space="preserve">por contar </w:t>
      </w:r>
      <w:r w:rsidR="00E444CB" w:rsidRPr="00ED7E64">
        <w:rPr>
          <w:rFonts w:asciiTheme="minorHAnsi" w:hAnsiTheme="minorHAnsi" w:cstheme="minorHAnsi"/>
          <w:szCs w:val="22"/>
        </w:rPr>
        <w:t>la sociedad</w:t>
      </w:r>
      <w:r w:rsidRPr="00ED7E64">
        <w:rPr>
          <w:rFonts w:asciiTheme="minorHAnsi" w:hAnsiTheme="minorHAnsi" w:cstheme="minorHAnsi"/>
          <w:szCs w:val="22"/>
        </w:rPr>
        <w:t xml:space="preserve"> con experiencia o activos especiales</w:t>
      </w:r>
      <w:r w:rsidR="00E444CB" w:rsidRPr="00ED7E64">
        <w:rPr>
          <w:rFonts w:asciiTheme="minorHAnsi" w:hAnsiTheme="minorHAnsi" w:cstheme="minorHAnsi"/>
          <w:szCs w:val="22"/>
        </w:rPr>
        <w:t>;</w:t>
      </w:r>
    </w:p>
    <w:p w14:paraId="6E57F6F5" w14:textId="7CA19E38" w:rsidR="00323D85" w:rsidRPr="00ED7E64" w:rsidRDefault="00323D85" w:rsidP="00A87B86">
      <w:pPr>
        <w:pStyle w:val="BPLLprrafo0"/>
        <w:numPr>
          <w:ilvl w:val="0"/>
          <w:numId w:val="47"/>
        </w:numPr>
        <w:rPr>
          <w:rFonts w:asciiTheme="minorHAnsi" w:hAnsiTheme="minorHAnsi" w:cstheme="minorHAnsi"/>
          <w:szCs w:val="22"/>
        </w:rPr>
      </w:pPr>
      <w:r w:rsidRPr="00ED7E64">
        <w:rPr>
          <w:rFonts w:asciiTheme="minorHAnsi" w:hAnsiTheme="minorHAnsi" w:cstheme="minorHAnsi"/>
          <w:szCs w:val="22"/>
        </w:rPr>
        <w:t>Un abuso de posición de dominio por un monopolista</w:t>
      </w:r>
      <w:r w:rsidR="00E444CB" w:rsidRPr="00ED7E64">
        <w:rPr>
          <w:rFonts w:asciiTheme="minorHAnsi" w:hAnsiTheme="minorHAnsi" w:cstheme="minorHAnsi"/>
          <w:szCs w:val="22"/>
        </w:rPr>
        <w:t>; o</w:t>
      </w:r>
    </w:p>
    <w:p w14:paraId="46B81550" w14:textId="27D30750" w:rsidR="00323D85" w:rsidRPr="00ED7E64" w:rsidRDefault="00323D85" w:rsidP="00A87B86">
      <w:pPr>
        <w:pStyle w:val="BPLLprrafo0"/>
        <w:numPr>
          <w:ilvl w:val="0"/>
          <w:numId w:val="47"/>
        </w:numPr>
        <w:rPr>
          <w:rFonts w:asciiTheme="minorHAnsi" w:hAnsiTheme="minorHAnsi" w:cstheme="minorHAnsi"/>
          <w:szCs w:val="22"/>
        </w:rPr>
      </w:pPr>
      <w:r w:rsidRPr="00ED7E64">
        <w:rPr>
          <w:rFonts w:asciiTheme="minorHAnsi" w:hAnsiTheme="minorHAnsi" w:cstheme="minorHAnsi"/>
          <w:szCs w:val="22"/>
        </w:rPr>
        <w:t xml:space="preserve">Un abuso de posición de dominio colectiva. </w:t>
      </w:r>
    </w:p>
    <w:p w14:paraId="024B6586" w14:textId="0D1EB2EC" w:rsidR="00063153" w:rsidRPr="00ED7E64" w:rsidRDefault="006F3B9E" w:rsidP="009144C4">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A este respecto, cab</w:t>
      </w:r>
      <w:r w:rsidR="008C65A7" w:rsidRPr="00ED7E64">
        <w:rPr>
          <w:rFonts w:asciiTheme="minorHAnsi" w:hAnsiTheme="minorHAnsi" w:cstheme="minorHAnsi"/>
          <w:szCs w:val="22"/>
        </w:rPr>
        <w:t>e</w:t>
      </w:r>
      <w:r w:rsidRPr="00ED7E64">
        <w:rPr>
          <w:rFonts w:asciiTheme="minorHAnsi" w:hAnsiTheme="minorHAnsi" w:cstheme="minorHAnsi"/>
          <w:szCs w:val="22"/>
        </w:rPr>
        <w:t xml:space="preserve"> sugerir</w:t>
      </w:r>
      <w:r w:rsidR="008C65A7" w:rsidRPr="00ED7E64">
        <w:rPr>
          <w:rFonts w:asciiTheme="minorHAnsi" w:hAnsiTheme="minorHAnsi" w:cstheme="minorHAnsi"/>
          <w:szCs w:val="22"/>
        </w:rPr>
        <w:t>, en los supuestos expuestos, (i) la aplicación de una</w:t>
      </w:r>
      <w:r w:rsidRPr="00ED7E64">
        <w:rPr>
          <w:rFonts w:asciiTheme="minorHAnsi" w:hAnsiTheme="minorHAnsi" w:cstheme="minorHAnsi"/>
          <w:szCs w:val="22"/>
        </w:rPr>
        <w:t xml:space="preserve"> exención de la prohibición de contratar</w:t>
      </w:r>
      <w:r w:rsidR="008C65A7" w:rsidRPr="00ED7E64">
        <w:rPr>
          <w:rFonts w:asciiTheme="minorHAnsi" w:hAnsiTheme="minorHAnsi" w:cstheme="minorHAnsi"/>
          <w:szCs w:val="22"/>
        </w:rPr>
        <w:t>;</w:t>
      </w:r>
      <w:r w:rsidRPr="00ED7E64">
        <w:rPr>
          <w:rFonts w:asciiTheme="minorHAnsi" w:hAnsiTheme="minorHAnsi" w:cstheme="minorHAnsi"/>
          <w:szCs w:val="22"/>
        </w:rPr>
        <w:t xml:space="preserve"> y </w:t>
      </w:r>
      <w:r w:rsidR="008C65A7" w:rsidRPr="00ED7E64">
        <w:rPr>
          <w:rFonts w:asciiTheme="minorHAnsi" w:hAnsiTheme="minorHAnsi" w:cstheme="minorHAnsi"/>
          <w:szCs w:val="22"/>
        </w:rPr>
        <w:t>(</w:t>
      </w:r>
      <w:proofErr w:type="spellStart"/>
      <w:r w:rsidR="008C65A7" w:rsidRPr="00ED7E64">
        <w:rPr>
          <w:rFonts w:asciiTheme="minorHAnsi" w:hAnsiTheme="minorHAnsi" w:cstheme="minorHAnsi"/>
          <w:szCs w:val="22"/>
        </w:rPr>
        <w:t>ii</w:t>
      </w:r>
      <w:proofErr w:type="spellEnd"/>
      <w:r w:rsidR="008C65A7" w:rsidRPr="00ED7E64">
        <w:rPr>
          <w:rFonts w:asciiTheme="minorHAnsi" w:hAnsiTheme="minorHAnsi" w:cstheme="minorHAnsi"/>
          <w:szCs w:val="22"/>
        </w:rPr>
        <w:t>) la imposición de una</w:t>
      </w:r>
      <w:r w:rsidRPr="00ED7E64">
        <w:rPr>
          <w:rFonts w:asciiTheme="minorHAnsi" w:hAnsiTheme="minorHAnsi" w:cstheme="minorHAnsi"/>
          <w:szCs w:val="22"/>
        </w:rPr>
        <w:t xml:space="preserve"> sanción consiste en mayores controles en los documentos rectores de la contratación por parte de los órganos de contratación de cara a mitigar los eventuales perjuicios para la Administración.</w:t>
      </w:r>
    </w:p>
    <w:p w14:paraId="654819FE" w14:textId="77777777" w:rsidR="0065690F" w:rsidRPr="00ED7E64" w:rsidRDefault="0065690F" w:rsidP="0065690F">
      <w:pPr>
        <w:pStyle w:val="BPLLprrafo0"/>
        <w:numPr>
          <w:ilvl w:val="0"/>
          <w:numId w:val="45"/>
        </w:numPr>
        <w:rPr>
          <w:rFonts w:asciiTheme="minorHAnsi" w:hAnsiTheme="minorHAnsi" w:cstheme="minorHAnsi"/>
          <w:b/>
          <w:bCs/>
          <w:szCs w:val="22"/>
        </w:rPr>
      </w:pPr>
      <w:r w:rsidRPr="00ED7E64">
        <w:rPr>
          <w:rFonts w:asciiTheme="minorHAnsi" w:hAnsiTheme="minorHAnsi" w:cstheme="minorHAnsi"/>
          <w:b/>
          <w:bCs/>
          <w:szCs w:val="22"/>
        </w:rPr>
        <w:t>SECCIÓN REALIZADA POR EVERSHEDS SUTHERLAND</w:t>
      </w:r>
    </w:p>
    <w:p w14:paraId="3B2774CC" w14:textId="77777777" w:rsidR="000102BD" w:rsidRPr="00ED7E64" w:rsidRDefault="000102BD" w:rsidP="000102BD">
      <w:pPr>
        <w:pStyle w:val="BPLLprrafonumerado"/>
        <w:numPr>
          <w:ilvl w:val="0"/>
          <w:numId w:val="50"/>
        </w:numPr>
        <w:ind w:left="709" w:hanging="709"/>
        <w:rPr>
          <w:rFonts w:asciiTheme="minorHAnsi" w:hAnsiTheme="minorHAnsi" w:cstheme="minorHAnsi"/>
          <w:szCs w:val="22"/>
        </w:rPr>
      </w:pPr>
      <w:r w:rsidRPr="00ED7E64">
        <w:rPr>
          <w:rFonts w:asciiTheme="minorHAnsi" w:hAnsiTheme="minorHAnsi" w:cstheme="minorHAnsi"/>
          <w:szCs w:val="22"/>
        </w:rPr>
        <w:t>[</w:t>
      </w:r>
      <w:r w:rsidRPr="00ED7E64">
        <w:rPr>
          <w:rFonts w:asciiTheme="minorHAnsi" w:hAnsiTheme="minorHAnsi" w:cstheme="minorHAnsi"/>
          <w:szCs w:val="22"/>
          <w:highlight w:val="lightGray"/>
        </w:rPr>
        <w:t>*</w:t>
      </w:r>
      <w:r w:rsidRPr="00ED7E64">
        <w:rPr>
          <w:rFonts w:asciiTheme="minorHAnsi" w:hAnsiTheme="minorHAnsi" w:cstheme="minorHAnsi"/>
          <w:szCs w:val="22"/>
        </w:rPr>
        <w:t>]</w:t>
      </w:r>
    </w:p>
    <w:p w14:paraId="47BAF09A" w14:textId="69AD2E31" w:rsidR="00DB48E7" w:rsidRPr="00ED7E64" w:rsidRDefault="00DB48E7" w:rsidP="00A87B86">
      <w:pPr>
        <w:pStyle w:val="BPLLprrafo0"/>
        <w:rPr>
          <w:rFonts w:asciiTheme="minorHAnsi" w:hAnsiTheme="minorHAnsi" w:cstheme="minorHAnsi"/>
          <w:szCs w:val="22"/>
        </w:rPr>
      </w:pPr>
    </w:p>
    <w:p w14:paraId="33D1FD5F" w14:textId="77777777" w:rsidR="00DB48E7" w:rsidRPr="00ED7E64" w:rsidRDefault="00DB48E7" w:rsidP="00A87B86">
      <w:pPr>
        <w:pStyle w:val="BPLLprrafo0"/>
        <w:rPr>
          <w:rFonts w:asciiTheme="minorHAnsi" w:hAnsiTheme="minorHAnsi" w:cstheme="minorHAnsi"/>
          <w:szCs w:val="22"/>
        </w:rPr>
      </w:pPr>
    </w:p>
    <w:sectPr w:rsidR="00DB48E7" w:rsidRPr="00ED7E64" w:rsidSect="00584047">
      <w:headerReference w:type="default" r:id="rId8"/>
      <w:footerReference w:type="default" r:id="rId9"/>
      <w:footerReference w:type="first" r:id="rId10"/>
      <w:pgSz w:w="11907" w:h="16839"/>
      <w:pgMar w:top="1701" w:right="1418" w:bottom="1304" w:left="1418" w:header="284" w:footer="22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2B9F6E" w14:textId="77777777" w:rsidR="00D70FDF" w:rsidRDefault="00D70FDF">
      <w:r>
        <w:separator/>
      </w:r>
    </w:p>
  </w:endnote>
  <w:endnote w:type="continuationSeparator" w:id="0">
    <w:p w14:paraId="071CB640" w14:textId="77777777" w:rsidR="00D70FDF" w:rsidRDefault="00D70F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3869277"/>
      <w:docPartObj>
        <w:docPartGallery w:val="Page Numbers (Bottom of Page)"/>
        <w:docPartUnique/>
      </w:docPartObj>
    </w:sdtPr>
    <w:sdtEndPr>
      <w:rPr>
        <w:sz w:val="22"/>
        <w:szCs w:val="22"/>
      </w:rPr>
    </w:sdtEndPr>
    <w:sdtContent>
      <w:p w14:paraId="6BCA126C" w14:textId="07E617F9" w:rsidR="00AD763B" w:rsidRPr="00AD763B" w:rsidRDefault="00AD763B">
        <w:pPr>
          <w:pStyle w:val="Piedepgina"/>
          <w:jc w:val="center"/>
          <w:rPr>
            <w:sz w:val="22"/>
            <w:szCs w:val="22"/>
          </w:rPr>
        </w:pPr>
        <w:r w:rsidRPr="00AD763B">
          <w:rPr>
            <w:sz w:val="22"/>
            <w:szCs w:val="22"/>
          </w:rPr>
          <w:fldChar w:fldCharType="begin"/>
        </w:r>
        <w:r w:rsidRPr="00AD763B">
          <w:rPr>
            <w:sz w:val="22"/>
            <w:szCs w:val="22"/>
          </w:rPr>
          <w:instrText>PAGE   \* MERGEFORMAT</w:instrText>
        </w:r>
        <w:r w:rsidRPr="00AD763B">
          <w:rPr>
            <w:sz w:val="22"/>
            <w:szCs w:val="22"/>
          </w:rPr>
          <w:fldChar w:fldCharType="separate"/>
        </w:r>
        <w:r w:rsidRPr="00AD763B">
          <w:rPr>
            <w:sz w:val="22"/>
            <w:szCs w:val="22"/>
          </w:rPr>
          <w:t>2</w:t>
        </w:r>
        <w:r w:rsidRPr="00AD763B">
          <w:rPr>
            <w:sz w:val="22"/>
            <w:szCs w:val="22"/>
          </w:rPr>
          <w:fldChar w:fldCharType="end"/>
        </w:r>
      </w:p>
    </w:sdtContent>
  </w:sdt>
  <w:p w14:paraId="7F23E03A" w14:textId="77777777" w:rsidR="00007AAB" w:rsidRDefault="00007AA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eastAsiaTheme="minorEastAsia" w:hAnsiTheme="minorHAnsi" w:cs="Times New Roman"/>
        <w:color w:val="000000" w:themeColor="text1"/>
        <w:sz w:val="20"/>
      </w:rPr>
      <w:id w:val="-385482033"/>
      <w:docPartObj>
        <w:docPartGallery w:val="Page Numbers (Bottom of Page)"/>
        <w:docPartUnique/>
      </w:docPartObj>
    </w:sdtPr>
    <w:sdtEndPr>
      <w:rPr>
        <w:rFonts w:asciiTheme="majorHAnsi" w:eastAsiaTheme="majorEastAsia" w:hAnsiTheme="majorHAnsi" w:cstheme="majorBidi"/>
      </w:rPr>
    </w:sdtEndPr>
    <w:sdtContent>
      <w:p w14:paraId="1B506A97" w14:textId="77777777" w:rsidR="00584047" w:rsidRPr="00254964" w:rsidRDefault="00584047">
        <w:pPr>
          <w:pStyle w:val="Piedepgina"/>
          <w:jc w:val="center"/>
          <w:rPr>
            <w:rFonts w:asciiTheme="majorHAnsi" w:eastAsiaTheme="majorEastAsia" w:hAnsiTheme="majorHAnsi" w:cstheme="majorBidi"/>
            <w:color w:val="000000" w:themeColor="text1"/>
            <w:sz w:val="20"/>
          </w:rPr>
        </w:pPr>
        <w:r w:rsidRPr="00254964">
          <w:rPr>
            <w:rFonts w:asciiTheme="minorHAnsi" w:eastAsiaTheme="minorEastAsia" w:hAnsiTheme="minorHAnsi" w:cs="Times New Roman"/>
            <w:color w:val="000000" w:themeColor="text1"/>
            <w:sz w:val="20"/>
          </w:rPr>
          <w:fldChar w:fldCharType="begin"/>
        </w:r>
        <w:r w:rsidRPr="00254964">
          <w:rPr>
            <w:color w:val="000000" w:themeColor="text1"/>
            <w:sz w:val="20"/>
          </w:rPr>
          <w:instrText>PAGE   \* MERGEFORMAT</w:instrText>
        </w:r>
        <w:r w:rsidRPr="00254964">
          <w:rPr>
            <w:rFonts w:asciiTheme="minorHAnsi" w:eastAsiaTheme="minorEastAsia" w:hAnsiTheme="minorHAnsi" w:cs="Times New Roman"/>
            <w:color w:val="000000" w:themeColor="text1"/>
            <w:sz w:val="20"/>
          </w:rPr>
          <w:fldChar w:fldCharType="separate"/>
        </w:r>
        <w:r w:rsidRPr="00584047">
          <w:rPr>
            <w:rFonts w:asciiTheme="majorHAnsi" w:eastAsiaTheme="majorEastAsia" w:hAnsiTheme="majorHAnsi" w:cstheme="majorBidi"/>
            <w:noProof/>
            <w:color w:val="000000" w:themeColor="text1"/>
            <w:sz w:val="20"/>
          </w:rPr>
          <w:t>0</w:t>
        </w:r>
        <w:r w:rsidRPr="00254964">
          <w:rPr>
            <w:rFonts w:asciiTheme="majorHAnsi" w:eastAsiaTheme="majorEastAsia" w:hAnsiTheme="majorHAnsi" w:cstheme="majorBidi"/>
            <w:color w:val="000000" w:themeColor="text1"/>
            <w:sz w:val="20"/>
          </w:rPr>
          <w:fldChar w:fldCharType="end"/>
        </w:r>
      </w:p>
    </w:sdtContent>
  </w:sdt>
  <w:p w14:paraId="7715EBD5" w14:textId="77777777" w:rsidR="00DB73DA" w:rsidRDefault="00DB73D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EEA38" w14:textId="77777777" w:rsidR="00D70FDF" w:rsidRDefault="00D70FDF">
      <w:r>
        <w:separator/>
      </w:r>
    </w:p>
  </w:footnote>
  <w:footnote w:type="continuationSeparator" w:id="0">
    <w:p w14:paraId="23BC2A33" w14:textId="77777777" w:rsidR="00D70FDF" w:rsidRDefault="00D70FDF">
      <w:r>
        <w:continuationSeparator/>
      </w:r>
    </w:p>
  </w:footnote>
  <w:footnote w:id="1">
    <w:p w14:paraId="358F9151" w14:textId="77777777" w:rsidR="00507C50" w:rsidRDefault="00507C50" w:rsidP="00507C50">
      <w:pPr>
        <w:pStyle w:val="Textonotapie"/>
      </w:pPr>
      <w:r>
        <w:rPr>
          <w:rStyle w:val="Refdenotaalpie"/>
        </w:rPr>
        <w:footnoteRef/>
      </w:r>
      <w:r>
        <w:t xml:space="preserve"> Tal y como se ha expuesto con anterioridad, los </w:t>
      </w:r>
      <w:r w:rsidRPr="00CB2BAC">
        <w:t>medicamentos innovadores financiados son aquellos con derechos exclusivos de patente en vigor que el M</w:t>
      </w:r>
      <w:r>
        <w:t xml:space="preserve">inisterio de </w:t>
      </w:r>
      <w:r w:rsidRPr="00CB2BAC">
        <w:t>S</w:t>
      </w:r>
      <w:r>
        <w:t>anidad</w:t>
      </w:r>
      <w:r w:rsidRPr="00CB2BAC">
        <w:t>, en virtud del principio de financiación selectiva y no indiscriminada, ha decidido (unilateralmente) incluir en la Prestación Farmacéutica del S</w:t>
      </w:r>
      <w:r>
        <w:t>istema Nacional de Salud</w:t>
      </w:r>
      <w:r w:rsidRPr="00CB2BAC">
        <w:t xml:space="preserve">. </w:t>
      </w:r>
    </w:p>
  </w:footnote>
  <w:footnote w:id="2">
    <w:p w14:paraId="120A3A18" w14:textId="39E7ECD0" w:rsidR="000734BC" w:rsidRDefault="000734BC" w:rsidP="000734BC">
      <w:pPr>
        <w:pStyle w:val="Textonotapie"/>
      </w:pPr>
      <w:r>
        <w:rPr>
          <w:rStyle w:val="Refdenotaalpie"/>
        </w:rPr>
        <w:footnoteRef/>
      </w:r>
      <w:r>
        <w:t xml:space="preserve"> </w:t>
      </w:r>
      <w:r w:rsidRPr="00BB6C06">
        <w:rPr>
          <w:sz w:val="18"/>
          <w:szCs w:val="16"/>
        </w:rPr>
        <w:t xml:space="preserve">Sentencia de 6 de octubre de 2021, </w:t>
      </w:r>
      <w:r w:rsidRPr="00BB6C06">
        <w:rPr>
          <w:sz w:val="18"/>
          <w:szCs w:val="16"/>
        </w:rPr>
        <w:t>Sumal, C-882/19, EU:C:2021:800, apartado 43.</w:t>
      </w:r>
    </w:p>
  </w:footnote>
  <w:footnote w:id="3">
    <w:p w14:paraId="7D5BC212" w14:textId="77777777" w:rsidR="00F8348D" w:rsidRDefault="00F8348D" w:rsidP="00F8348D">
      <w:pPr>
        <w:pStyle w:val="Textonotapie"/>
      </w:pPr>
      <w:r>
        <w:rPr>
          <w:rStyle w:val="Refdenotaalpie"/>
        </w:rPr>
        <w:footnoteRef/>
      </w:r>
      <w:r>
        <w:t xml:space="preserve"> </w:t>
      </w:r>
      <w:r w:rsidRPr="00BB6C06">
        <w:rPr>
          <w:sz w:val="18"/>
          <w:szCs w:val="16"/>
        </w:rPr>
        <w:t xml:space="preserve">Sentencia de 6 de octubre de 2021, </w:t>
      </w:r>
      <w:r w:rsidRPr="00BB6C06">
        <w:rPr>
          <w:sz w:val="18"/>
          <w:szCs w:val="16"/>
        </w:rPr>
        <w:t>Sumal, C-882/19, EU:C:2021:800, apartado 47.</w:t>
      </w:r>
    </w:p>
  </w:footnote>
  <w:footnote w:id="4">
    <w:p w14:paraId="25AFCD7C" w14:textId="74FB29CD" w:rsidR="00940360" w:rsidRDefault="00940360" w:rsidP="00BB6C06">
      <w:pPr>
        <w:ind w:right="-23"/>
        <w:jc w:val="both"/>
      </w:pPr>
      <w:r>
        <w:rPr>
          <w:rStyle w:val="Refdenotaalpie"/>
        </w:rPr>
        <w:footnoteRef/>
      </w:r>
      <w:r>
        <w:t xml:space="preserve"> </w:t>
      </w:r>
      <w:r w:rsidRPr="00BB6C06">
        <w:rPr>
          <w:sz w:val="18"/>
          <w:szCs w:val="18"/>
        </w:rPr>
        <w:t xml:space="preserve">Sentencia de 6 de octubre de 2021, </w:t>
      </w:r>
      <w:r w:rsidRPr="00BB6C06">
        <w:rPr>
          <w:sz w:val="18"/>
          <w:szCs w:val="18"/>
        </w:rPr>
        <w:t>Sumal, C-882/19, EU:C:2021:800, apartado 52</w:t>
      </w:r>
      <w:r w:rsidR="00BB6C06" w:rsidRPr="00BB6C06">
        <w:rPr>
          <w:sz w:val="18"/>
          <w:szCs w:val="18"/>
        </w:rPr>
        <w:t>: «</w:t>
      </w:r>
      <w:r w:rsidR="00F631EC">
        <w:rPr>
          <w:i/>
          <w:iCs/>
          <w:sz w:val="18"/>
          <w:szCs w:val="18"/>
        </w:rPr>
        <w:t>p</w:t>
      </w:r>
      <w:r w:rsidR="00BB6C06" w:rsidRPr="00BB6C06">
        <w:rPr>
          <w:i/>
          <w:iCs/>
          <w:sz w:val="18"/>
          <w:szCs w:val="18"/>
        </w:rPr>
        <w:t>or tanto, en circunstancias como las controvertidas en el litigio principal</w:t>
      </w:r>
      <w:r w:rsidR="00BB6C06" w:rsidRPr="002E5850">
        <w:rPr>
          <w:i/>
          <w:iCs/>
          <w:sz w:val="18"/>
          <w:szCs w:val="18"/>
        </w:rPr>
        <w:t xml:space="preserve">, </w:t>
      </w:r>
      <w:r w:rsidR="00BB6C06" w:rsidRPr="00BB6C06">
        <w:rPr>
          <w:i/>
          <w:iCs/>
          <w:sz w:val="18"/>
          <w:szCs w:val="18"/>
          <w:u w:val="single"/>
        </w:rPr>
        <w:t xml:space="preserve">la victima debería demostrar, en principio, que el acuerdo contrario a la competencia celebrado por la </w:t>
      </w:r>
      <w:r w:rsidR="00BB6C06" w:rsidRPr="00272C03">
        <w:rPr>
          <w:i/>
          <w:iCs/>
          <w:sz w:val="18"/>
          <w:szCs w:val="18"/>
          <w:u w:val="single"/>
        </w:rPr>
        <w:t>sociedad matriz por el que esta ha sido condenada se refiere a los mismos productos que aquellos que comercializa la sociedad filial. De ese</w:t>
      </w:r>
      <w:r w:rsidR="00BB6C06" w:rsidRPr="00BB6C06">
        <w:rPr>
          <w:i/>
          <w:iCs/>
          <w:sz w:val="18"/>
          <w:szCs w:val="18"/>
          <w:u w:val="single"/>
        </w:rPr>
        <w:t xml:space="preserve"> modo, la víctima demuestra que es precisamente la unidad económica a la que pertenece la sociedad filial, junto con su sociedad matriz, la que constituye la empresa que ha cometido efectivamente la infracción</w:t>
      </w:r>
      <w:r w:rsidR="00BB6C06" w:rsidRPr="00BB6C06">
        <w:rPr>
          <w:i/>
          <w:iCs/>
          <w:sz w:val="18"/>
          <w:szCs w:val="18"/>
        </w:rPr>
        <w:t xml:space="preserve"> declarada previamente por la Comisión en virtud del artículo 101 TFUE, apartado 1, con arreglo a la concepción funcional del concepto de «empresa» al que se ha hecho referencia en el apartado 46 de la presente sentencia.</w:t>
      </w:r>
      <w:r w:rsidR="00BB6C06" w:rsidRPr="00BB6C06">
        <w:rPr>
          <w:sz w:val="18"/>
          <w:szCs w:val="18"/>
        </w:rPr>
        <w:t>» [énfasis añadido]</w:t>
      </w:r>
    </w:p>
  </w:footnote>
  <w:footnote w:id="5">
    <w:p w14:paraId="208535B6" w14:textId="77777777" w:rsidR="00C76A04" w:rsidRDefault="00C76A04" w:rsidP="00C76A04">
      <w:pPr>
        <w:pStyle w:val="Textonotapie"/>
      </w:pPr>
      <w:r>
        <w:rPr>
          <w:rStyle w:val="Refdenotaalpie"/>
        </w:rPr>
        <w:footnoteRef/>
      </w:r>
      <w:r>
        <w:t xml:space="preserve"> </w:t>
      </w:r>
      <w:r w:rsidRPr="00357A96">
        <w:rPr>
          <w:sz w:val="18"/>
          <w:szCs w:val="16"/>
        </w:rPr>
        <w:t xml:space="preserve">En concreto, en la resolución del Consejo de la CNMC de 14 de marzo de 2019 en el expediente S/DC/0598/2016, </w:t>
      </w:r>
      <w:r w:rsidRPr="00357A96">
        <w:rPr>
          <w:i/>
          <w:iCs/>
          <w:sz w:val="18"/>
          <w:szCs w:val="16"/>
        </w:rPr>
        <w:t>Electrificación y Electromecánicas Ferroviarias</w:t>
      </w:r>
      <w:r w:rsidRPr="00357A96">
        <w:rPr>
          <w:sz w:val="18"/>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CF9C4" w14:textId="0A2B8E4B" w:rsidR="00305D90" w:rsidRDefault="00305D90">
    <w:pPr>
      <w:pStyle w:val="Encabezado"/>
    </w:pPr>
  </w:p>
  <w:p w14:paraId="43FE8599" w14:textId="16581AD2" w:rsidR="00305D90" w:rsidRDefault="00305D90">
    <w:pPr>
      <w:pStyle w:val="Encabezado"/>
    </w:pPr>
  </w:p>
  <w:p w14:paraId="4D09B4C4" w14:textId="0868B22D" w:rsidR="00305D90" w:rsidRDefault="00305D90" w:rsidP="00305D90">
    <w:pPr>
      <w:pStyle w:val="Encabezado"/>
      <w:spacing w:line="276" w:lineRule="auto"/>
    </w:pPr>
  </w:p>
  <w:p w14:paraId="33881C33" w14:textId="48F0F963" w:rsidR="00305D90" w:rsidRPr="00305D90" w:rsidRDefault="00305D90" w:rsidP="00305D90">
    <w:pPr>
      <w:pStyle w:val="Encabezado"/>
      <w:spacing w:line="276" w:lineRule="auto"/>
      <w:jc w:val="right"/>
      <w:rPr>
        <w:b/>
        <w:bCs/>
        <w:u w:val="single"/>
      </w:rPr>
    </w:pPr>
    <w:r w:rsidRPr="00305D90">
      <w:rPr>
        <w:b/>
        <w:bCs/>
        <w:u w:val="single"/>
      </w:rPr>
      <w:t>Borrador PLL</w:t>
    </w:r>
  </w:p>
  <w:p w14:paraId="5F9C1E95" w14:textId="705E967C" w:rsidR="00305D90" w:rsidRPr="00305D90" w:rsidRDefault="00E949A2" w:rsidP="00305D90">
    <w:pPr>
      <w:pStyle w:val="Encabezado"/>
      <w:spacing w:line="276" w:lineRule="auto"/>
      <w:jc w:val="right"/>
      <w:rPr>
        <w:b/>
        <w:bCs/>
      </w:rPr>
    </w:pPr>
    <w:r>
      <w:rPr>
        <w:b/>
        <w:bCs/>
      </w:rPr>
      <w:t>2</w:t>
    </w:r>
    <w:r w:rsidR="00FF116D">
      <w:rPr>
        <w:b/>
        <w:bCs/>
      </w:rPr>
      <w:t>1</w:t>
    </w:r>
    <w:r w:rsidR="00305D90" w:rsidRPr="00305D90">
      <w:rPr>
        <w:b/>
        <w:bCs/>
      </w:rPr>
      <w:t>.12.2022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E71CEAA"/>
    <w:multiLevelType w:val="hybridMultilevel"/>
    <w:tmpl w:val="758F32F3"/>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697EF81"/>
    <w:multiLevelType w:val="hybridMultilevel"/>
    <w:tmpl w:val="93C6AE1D"/>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CE90EA2"/>
    <w:multiLevelType w:val="hybridMultilevel"/>
    <w:tmpl w:val="FC292E9D"/>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2BE66A1"/>
    <w:multiLevelType w:val="multilevel"/>
    <w:tmpl w:val="55F63B86"/>
    <w:lvl w:ilvl="0">
      <w:start w:val="1"/>
      <w:numFmt w:val="upperLetter"/>
      <w:pStyle w:val="DPLLAlphaMAY"/>
      <w:lvlText w:val="%1."/>
      <w:lvlJc w:val="left"/>
      <w:pPr>
        <w:tabs>
          <w:tab w:val="num" w:pos="709"/>
        </w:tabs>
        <w:ind w:left="709" w:hanging="709"/>
      </w:pPr>
      <w:rPr>
        <w:rFonts w:ascii="Times New Roman" w:hAnsi="Times New Roman" w:cs="Times New Roman" w:hint="default"/>
        <w:b w:val="0"/>
        <w:i w:val="0"/>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pStyle w:val="PLLAppendix"/>
      <w:lvlText w:val="%9."/>
      <w:lvlJc w:val="right"/>
      <w:pPr>
        <w:tabs>
          <w:tab w:val="num" w:pos="6480"/>
        </w:tabs>
        <w:ind w:left="6480" w:hanging="180"/>
      </w:pPr>
      <w:rPr>
        <w:rFonts w:hint="default"/>
      </w:rPr>
    </w:lvl>
  </w:abstractNum>
  <w:abstractNum w:abstractNumId="4" w15:restartNumberingAfterBreak="0">
    <w:nsid w:val="0BE76101"/>
    <w:multiLevelType w:val="multilevel"/>
    <w:tmpl w:val="6242F0E8"/>
    <w:styleLink w:val="PLLMultinivel"/>
    <w:lvl w:ilvl="0">
      <w:start w:val="1"/>
      <w:numFmt w:val="decimal"/>
      <w:lvlText w:val="%1."/>
      <w:lvlJc w:val="left"/>
      <w:pPr>
        <w:tabs>
          <w:tab w:val="num" w:pos="709"/>
        </w:tabs>
        <w:ind w:left="709" w:hanging="709"/>
      </w:pPr>
      <w:rPr>
        <w:rFonts w:hint="default"/>
      </w:rPr>
    </w:lvl>
    <w:lvl w:ilvl="1">
      <w:start w:val="1"/>
      <w:numFmt w:val="decimal"/>
      <w:lvlText w:val="%1.%2."/>
      <w:lvlJc w:val="left"/>
      <w:pPr>
        <w:tabs>
          <w:tab w:val="num" w:pos="709"/>
        </w:tabs>
        <w:ind w:left="709" w:hanging="709"/>
      </w:pPr>
      <w:rPr>
        <w:rFonts w:hint="default"/>
      </w:rPr>
    </w:lvl>
    <w:lvl w:ilvl="2">
      <w:start w:val="1"/>
      <w:numFmt w:val="decimal"/>
      <w:lvlText w:val="%1.%2.%3."/>
      <w:lvlJc w:val="left"/>
      <w:pPr>
        <w:tabs>
          <w:tab w:val="num" w:pos="709"/>
        </w:tabs>
        <w:ind w:left="709" w:hanging="709"/>
      </w:pPr>
      <w:rPr>
        <w:rFonts w:hint="default"/>
        <w:b w:val="0"/>
        <w:i w:val="0"/>
        <w:sz w:val="22"/>
      </w:rPr>
    </w:lvl>
    <w:lvl w:ilvl="3">
      <w:start w:val="1"/>
      <w:numFmt w:val="lowerLetter"/>
      <w:lvlText w:val="(%4)"/>
      <w:lvlJc w:val="left"/>
      <w:pPr>
        <w:tabs>
          <w:tab w:val="num" w:pos="1418"/>
        </w:tabs>
        <w:ind w:left="1418" w:hanging="709"/>
      </w:pPr>
      <w:rPr>
        <w:rFonts w:hint="default"/>
      </w:rPr>
    </w:lvl>
    <w:lvl w:ilvl="4">
      <w:start w:val="1"/>
      <w:numFmt w:val="lowerRoman"/>
      <w:lvlText w:val="(%5)"/>
      <w:lvlJc w:val="left"/>
      <w:pPr>
        <w:tabs>
          <w:tab w:val="num" w:pos="1843"/>
        </w:tabs>
        <w:ind w:left="1843" w:hanging="851"/>
      </w:pPr>
      <w:rPr>
        <w:rFonts w:hint="default"/>
      </w:rPr>
    </w:lvl>
    <w:lvl w:ilvl="5">
      <w:start w:val="1"/>
      <w:numFmt w:val="lowerLetter"/>
      <w:lvlText w:val="%6."/>
      <w:lvlJc w:val="left"/>
      <w:pPr>
        <w:tabs>
          <w:tab w:val="num" w:pos="2268"/>
        </w:tabs>
        <w:ind w:left="2268" w:hanging="425"/>
      </w:pPr>
      <w:rPr>
        <w:rFonts w:hint="default"/>
      </w:rPr>
    </w:lvl>
    <w:lvl w:ilvl="6">
      <w:start w:val="1"/>
      <w:numFmt w:val="upperRoman"/>
      <w:lvlText w:val="(%7)"/>
      <w:lvlJc w:val="left"/>
      <w:pPr>
        <w:tabs>
          <w:tab w:val="num" w:pos="2977"/>
        </w:tabs>
        <w:ind w:left="2977" w:hanging="709"/>
      </w:pPr>
      <w:rPr>
        <w:rFonts w:hint="default"/>
      </w:rPr>
    </w:lvl>
    <w:lvl w:ilvl="7">
      <w:start w:val="1"/>
      <w:numFmt w:val="upperRoman"/>
      <w:lvlText w:val="(%8)"/>
      <w:lvlJc w:val="left"/>
      <w:pPr>
        <w:tabs>
          <w:tab w:val="num" w:pos="15594"/>
        </w:tabs>
        <w:ind w:left="15594" w:hanging="709"/>
      </w:pPr>
      <w:rPr>
        <w:rFonts w:hint="default"/>
      </w:rPr>
    </w:lvl>
    <w:lvl w:ilvl="8">
      <w:start w:val="1"/>
      <w:numFmt w:val="none"/>
      <w:lvlText w:val=""/>
      <w:lvlJc w:val="left"/>
      <w:pPr>
        <w:ind w:left="12617" w:firstLine="0"/>
      </w:pPr>
      <w:rPr>
        <w:rFonts w:hint="default"/>
      </w:rPr>
    </w:lvl>
  </w:abstractNum>
  <w:abstractNum w:abstractNumId="5" w15:restartNumberingAfterBreak="0">
    <w:nsid w:val="0C48645C"/>
    <w:multiLevelType w:val="multilevel"/>
    <w:tmpl w:val="707810EE"/>
    <w:lvl w:ilvl="0">
      <w:start w:val="1"/>
      <w:numFmt w:val="decimal"/>
      <w:pStyle w:val="CPLLpartes"/>
      <w:lvlText w:val="(%1)"/>
      <w:lvlJc w:val="left"/>
      <w:pPr>
        <w:tabs>
          <w:tab w:val="num" w:pos="709"/>
        </w:tabs>
        <w:ind w:left="709" w:hanging="709"/>
      </w:pPr>
      <w:rPr>
        <w:rFonts w:ascii="Times New Roman" w:hAnsi="Times New Roman" w:hint="default"/>
        <w:b w:val="0"/>
        <w:bCs w:val="0"/>
        <w:i w:val="0"/>
        <w:iCs w:val="0"/>
        <w:caps w:val="0"/>
        <w:smallCaps w:val="0"/>
        <w:strike w:val="0"/>
        <w:dstrike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 w15:restartNumberingAfterBreak="0">
    <w:nsid w:val="0DA53848"/>
    <w:multiLevelType w:val="multilevel"/>
    <w:tmpl w:val="06765C02"/>
    <w:lvl w:ilvl="0">
      <w:start w:val="1"/>
      <w:numFmt w:val="bullet"/>
      <w:pStyle w:val="PLLtablabullet"/>
      <w:lvlText w:val=""/>
      <w:lvlJc w:val="left"/>
      <w:pPr>
        <w:tabs>
          <w:tab w:val="num" w:pos="709"/>
        </w:tabs>
        <w:ind w:left="709" w:hanging="709"/>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pStyle w:val="PLLNivel2notdc"/>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EBF730C"/>
    <w:multiLevelType w:val="hybridMultilevel"/>
    <w:tmpl w:val="C3307F9E"/>
    <w:lvl w:ilvl="0" w:tplc="BE08F182">
      <w:numFmt w:val="bullet"/>
      <w:lvlText w:val="-"/>
      <w:lvlJc w:val="left"/>
      <w:pPr>
        <w:ind w:left="720" w:hanging="360"/>
      </w:pPr>
      <w:rPr>
        <w:rFonts w:ascii="Times New Roman" w:eastAsiaTheme="minorHAnsi" w:hAnsi="Times New Roman"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0FB71B00"/>
    <w:multiLevelType w:val="multilevel"/>
    <w:tmpl w:val="F8D21E06"/>
    <w:lvl w:ilvl="0">
      <w:start w:val="1"/>
      <w:numFmt w:val="upperRoman"/>
      <w:pStyle w:val="CPLLpartesroman"/>
      <w:lvlText w:val="(%1)"/>
      <w:lvlJc w:val="left"/>
      <w:pPr>
        <w:ind w:left="709" w:hanging="709"/>
      </w:pPr>
      <w:rPr>
        <w:rFonts w:ascii="Times New Roman" w:hAnsi="Times New Roman" w:cs="Times New Roman" w:hint="default"/>
        <w:b w:val="0"/>
        <w:i w:val="0"/>
        <w:sz w:val="22"/>
        <w:szCs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1134323D"/>
    <w:multiLevelType w:val="multilevel"/>
    <w:tmpl w:val="AFA86BF4"/>
    <w:lvl w:ilvl="0">
      <w:start w:val="1"/>
      <w:numFmt w:val="decimal"/>
      <w:pStyle w:val="Schedule1"/>
      <w:lvlText w:val="%1"/>
      <w:lvlJc w:val="left"/>
      <w:pPr>
        <w:tabs>
          <w:tab w:val="num" w:pos="680"/>
        </w:tabs>
        <w:ind w:left="680" w:hanging="680"/>
      </w:pPr>
      <w:rPr>
        <w:rFonts w:hint="default"/>
        <w:b/>
        <w:i w:val="0"/>
        <w:sz w:val="22"/>
      </w:rPr>
    </w:lvl>
    <w:lvl w:ilvl="1">
      <w:start w:val="1"/>
      <w:numFmt w:val="decimal"/>
      <w:pStyle w:val="Schedule2"/>
      <w:lvlText w:val="%1.%2"/>
      <w:lvlJc w:val="left"/>
      <w:pPr>
        <w:tabs>
          <w:tab w:val="num" w:pos="680"/>
        </w:tabs>
        <w:ind w:left="680" w:hanging="680"/>
      </w:pPr>
      <w:rPr>
        <w:rFonts w:hint="default"/>
        <w:b/>
        <w:i w:val="0"/>
        <w:sz w:val="21"/>
      </w:rPr>
    </w:lvl>
    <w:lvl w:ilvl="2">
      <w:start w:val="1"/>
      <w:numFmt w:val="decimal"/>
      <w:pStyle w:val="Schedule3"/>
      <w:lvlText w:val="%1.%2.%3"/>
      <w:lvlJc w:val="left"/>
      <w:pPr>
        <w:tabs>
          <w:tab w:val="num" w:pos="1361"/>
        </w:tabs>
        <w:ind w:left="1361" w:hanging="681"/>
      </w:pPr>
      <w:rPr>
        <w:rFonts w:hint="default"/>
        <w:b/>
        <w:i w:val="0"/>
        <w:sz w:val="17"/>
      </w:rPr>
    </w:lvl>
    <w:lvl w:ilvl="3">
      <w:start w:val="1"/>
      <w:numFmt w:val="lowerRoman"/>
      <w:pStyle w:val="Schedule4"/>
      <w:lvlText w:val="(%4)"/>
      <w:lvlJc w:val="left"/>
      <w:pPr>
        <w:tabs>
          <w:tab w:val="num" w:pos="2041"/>
        </w:tabs>
        <w:ind w:left="2041" w:hanging="680"/>
      </w:pPr>
      <w:rPr>
        <w:rFonts w:hint="default"/>
      </w:rPr>
    </w:lvl>
    <w:lvl w:ilvl="4">
      <w:start w:val="1"/>
      <w:numFmt w:val="lowerLetter"/>
      <w:pStyle w:val="Schedule5"/>
      <w:lvlText w:val="(%5)"/>
      <w:lvlJc w:val="left"/>
      <w:pPr>
        <w:tabs>
          <w:tab w:val="num" w:pos="2608"/>
        </w:tabs>
        <w:ind w:left="2608" w:hanging="567"/>
      </w:pPr>
      <w:rPr>
        <w:rFonts w:hint="default"/>
      </w:rPr>
    </w:lvl>
    <w:lvl w:ilvl="5">
      <w:start w:val="1"/>
      <w:numFmt w:val="upperRoman"/>
      <w:pStyle w:val="Schedule6"/>
      <w:lvlText w:val="(%6)"/>
      <w:lvlJc w:val="left"/>
      <w:pPr>
        <w:tabs>
          <w:tab w:val="num" w:pos="3288"/>
        </w:tabs>
        <w:ind w:left="3288"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10" w15:restartNumberingAfterBreak="0">
    <w:nsid w:val="116B7A43"/>
    <w:multiLevelType w:val="multilevel"/>
    <w:tmpl w:val="C27215BE"/>
    <w:lvl w:ilvl="0">
      <w:start w:val="1"/>
      <w:numFmt w:val="decimal"/>
      <w:pStyle w:val="PLLtabla1"/>
      <w:lvlText w:val="%1."/>
      <w:lvlJc w:val="left"/>
      <w:pPr>
        <w:tabs>
          <w:tab w:val="num" w:pos="709"/>
        </w:tabs>
        <w:ind w:left="709" w:hanging="709"/>
      </w:pPr>
      <w:rPr>
        <w:rFonts w:hint="default"/>
        <w:b/>
        <w:i w:val="0"/>
        <w:sz w:val="22"/>
      </w:rPr>
    </w:lvl>
    <w:lvl w:ilvl="1">
      <w:start w:val="1"/>
      <w:numFmt w:val="decimal"/>
      <w:pStyle w:val="PLLtabla2"/>
      <w:lvlText w:val="%1.%2."/>
      <w:lvlJc w:val="left"/>
      <w:pPr>
        <w:tabs>
          <w:tab w:val="num" w:pos="709"/>
        </w:tabs>
        <w:ind w:left="709" w:hanging="709"/>
      </w:pPr>
      <w:rPr>
        <w:rFonts w:hint="default"/>
        <w:b/>
        <w:i w:val="0"/>
        <w:sz w:val="22"/>
        <w:szCs w:val="20"/>
      </w:rPr>
    </w:lvl>
    <w:lvl w:ilvl="2">
      <w:start w:val="1"/>
      <w:numFmt w:val="decimal"/>
      <w:pStyle w:val="PLLtabla3"/>
      <w:lvlText w:val="%1.%2.%3."/>
      <w:lvlJc w:val="left"/>
      <w:pPr>
        <w:tabs>
          <w:tab w:val="num" w:pos="709"/>
        </w:tabs>
        <w:ind w:left="709" w:hanging="709"/>
      </w:pPr>
      <w:rPr>
        <w:rFonts w:ascii="Times New Roman" w:hAnsi="Times New Roman" w:hint="default"/>
        <w:b w:val="0"/>
        <w:bCs w:val="0"/>
        <w:i w:val="0"/>
        <w:iCs w:val="0"/>
        <w:caps w:val="0"/>
        <w:smallCaps w:val="0"/>
        <w:strike w:val="0"/>
        <w:dstrike w:val="0"/>
        <w:vanish w:val="0"/>
        <w:color w:val="000000"/>
        <w:spacing w:val="0"/>
        <w:kern w:val="0"/>
        <w:position w:val="0"/>
        <w:sz w:val="18"/>
        <w:szCs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Roman"/>
      <w:pStyle w:val="PLLtabla4"/>
      <w:lvlText w:val="(%4)"/>
      <w:lvlJc w:val="left"/>
      <w:pPr>
        <w:tabs>
          <w:tab w:val="num" w:pos="709"/>
        </w:tabs>
        <w:ind w:left="709" w:hanging="709"/>
      </w:pPr>
      <w:rPr>
        <w:rFonts w:hint="default"/>
      </w:rPr>
    </w:lvl>
    <w:lvl w:ilvl="4">
      <w:start w:val="1"/>
      <w:numFmt w:val="lowerLetter"/>
      <w:pStyle w:val="PLLtabla5"/>
      <w:lvlText w:val="(%5)"/>
      <w:lvlJc w:val="left"/>
      <w:pPr>
        <w:tabs>
          <w:tab w:val="num" w:pos="709"/>
        </w:tabs>
        <w:ind w:left="709" w:hanging="709"/>
      </w:pPr>
      <w:rPr>
        <w:rFonts w:hint="default"/>
      </w:rPr>
    </w:lvl>
    <w:lvl w:ilvl="5">
      <w:start w:val="1"/>
      <w:numFmt w:val="upperRoman"/>
      <w:pStyle w:val="PLLTabla6"/>
      <w:lvlText w:val="(%6)"/>
      <w:lvlJc w:val="left"/>
      <w:pPr>
        <w:tabs>
          <w:tab w:val="num" w:pos="709"/>
        </w:tabs>
        <w:ind w:left="709" w:hanging="709"/>
      </w:pPr>
      <w:rPr>
        <w:rFonts w:hint="default"/>
      </w:rPr>
    </w:lvl>
    <w:lvl w:ilvl="6">
      <w:start w:val="1"/>
      <w:numFmt w:val="none"/>
      <w:lvlText w:val=""/>
      <w:lvlJc w:val="left"/>
      <w:pPr>
        <w:tabs>
          <w:tab w:val="num" w:pos="680"/>
        </w:tabs>
        <w:ind w:left="680" w:hanging="680"/>
      </w:pPr>
      <w:rPr>
        <w:rFonts w:hint="default"/>
      </w:rPr>
    </w:lvl>
    <w:lvl w:ilvl="7">
      <w:start w:val="1"/>
      <w:numFmt w:val="none"/>
      <w:lvlText w:val=""/>
      <w:lvlJc w:val="left"/>
      <w:pPr>
        <w:tabs>
          <w:tab w:val="num" w:pos="30521"/>
        </w:tabs>
        <w:ind w:left="30161" w:firstLine="0"/>
      </w:pPr>
      <w:rPr>
        <w:rFonts w:hint="default"/>
      </w:rPr>
    </w:lvl>
    <w:lvl w:ilvl="8">
      <w:start w:val="1"/>
      <w:numFmt w:val="none"/>
      <w:lvlText w:val=""/>
      <w:lvlJc w:val="left"/>
      <w:pPr>
        <w:tabs>
          <w:tab w:val="num" w:pos="30521"/>
        </w:tabs>
        <w:ind w:left="30161" w:firstLine="0"/>
      </w:pPr>
      <w:rPr>
        <w:rFonts w:hint="default"/>
      </w:rPr>
    </w:lvl>
  </w:abstractNum>
  <w:abstractNum w:abstractNumId="11" w15:restartNumberingAfterBreak="0">
    <w:nsid w:val="17484E99"/>
    <w:multiLevelType w:val="multilevel"/>
    <w:tmpl w:val="F0A8E002"/>
    <w:lvl w:ilvl="0">
      <w:start w:val="1"/>
      <w:numFmt w:val="bullet"/>
      <w:pStyle w:val="PLLbullet1"/>
      <w:lvlText w:val=""/>
      <w:lvlJc w:val="left"/>
      <w:pPr>
        <w:tabs>
          <w:tab w:val="num" w:pos="680"/>
        </w:tabs>
        <w:ind w:left="709" w:hanging="709"/>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7FA0E9C"/>
    <w:multiLevelType w:val="multilevel"/>
    <w:tmpl w:val="64CEB6AE"/>
    <w:lvl w:ilvl="0">
      <w:start w:val="1"/>
      <w:numFmt w:val="bullet"/>
      <w:pStyle w:val="PLLbullet7"/>
      <w:lvlText w:val=""/>
      <w:lvlJc w:val="left"/>
      <w:pPr>
        <w:tabs>
          <w:tab w:val="num" w:pos="3969"/>
        </w:tabs>
        <w:ind w:left="3969" w:hanging="681"/>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8176F70"/>
    <w:multiLevelType w:val="multilevel"/>
    <w:tmpl w:val="B87291E8"/>
    <w:lvl w:ilvl="0">
      <w:start w:val="1"/>
      <w:numFmt w:val="bullet"/>
      <w:lvlRestart w:val="0"/>
      <w:pStyle w:val="PLLguion7"/>
      <w:lvlText w:val=""/>
      <w:lvlJc w:val="left"/>
      <w:pPr>
        <w:tabs>
          <w:tab w:val="num" w:pos="3969"/>
        </w:tabs>
        <w:ind w:left="3969" w:hanging="681"/>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E3F0708"/>
    <w:multiLevelType w:val="multilevel"/>
    <w:tmpl w:val="50E0F41E"/>
    <w:lvl w:ilvl="0">
      <w:start w:val="1"/>
      <w:numFmt w:val="lowerRoman"/>
      <w:pStyle w:val="PLLroman1"/>
      <w:lvlText w:val="(%1)"/>
      <w:lvlJc w:val="left"/>
      <w:pPr>
        <w:tabs>
          <w:tab w:val="num" w:pos="709"/>
        </w:tabs>
        <w:ind w:left="709" w:hanging="709"/>
      </w:pPr>
      <w:rPr>
        <w:rFonts w:ascii="Times New Roman" w:hAnsi="Times New Roman" w:hint="default"/>
        <w:b w:val="0"/>
        <w:bCs w:val="0"/>
        <w:i w:val="0"/>
        <w:iCs w:val="0"/>
        <w:caps w:val="0"/>
        <w:smallCaps w:val="0"/>
        <w:strike w:val="0"/>
        <w:dstrike w:val="0"/>
        <w:outline w:val="0"/>
        <w:shadow w:val="0"/>
        <w:emboss w:val="0"/>
        <w:imprint w:val="0"/>
        <w:vanish w:val="0"/>
        <w:spacing w:val="0"/>
        <w:kern w:val="0"/>
        <w:position w:val="0"/>
        <w:sz w:val="22"/>
        <w:szCs w:val="22"/>
        <w:u w:val="none"/>
        <w:effect w:val="none"/>
        <w:vertAlign w:val="baseline"/>
        <w:em w:val="none"/>
        <w14:ligatures w14:val="none"/>
        <w14:numForm w14:val="default"/>
        <w14:numSpacing w14:val="default"/>
        <w14:stylisticSets/>
        <w14:cntxtAlts w14:val="0"/>
      </w:rPr>
    </w:lvl>
    <w:lvl w:ilvl="1">
      <w:start w:val="1"/>
      <w:numFmt w:val="lowerRoman"/>
      <w:pStyle w:val="PLLroman2"/>
      <w:lvlText w:val="(%2)"/>
      <w:lvlJc w:val="left"/>
      <w:pPr>
        <w:tabs>
          <w:tab w:val="num" w:pos="709"/>
        </w:tabs>
        <w:ind w:left="709" w:hanging="709"/>
      </w:pPr>
      <w:rPr>
        <w:rFonts w:hint="default"/>
        <w:b w:val="0"/>
        <w:i w:val="0"/>
      </w:rPr>
    </w:lvl>
    <w:lvl w:ilvl="2">
      <w:start w:val="1"/>
      <w:numFmt w:val="lowerRoman"/>
      <w:pStyle w:val="PLLroman3"/>
      <w:lvlText w:val="(%3)"/>
      <w:lvlJc w:val="left"/>
      <w:pPr>
        <w:tabs>
          <w:tab w:val="num" w:pos="1418"/>
        </w:tabs>
        <w:ind w:left="1418" w:hanging="709"/>
      </w:pPr>
      <w:rPr>
        <w:rFonts w:hint="default"/>
        <w:b w:val="0"/>
        <w:i w:val="0"/>
        <w:sz w:val="22"/>
      </w:rPr>
    </w:lvl>
    <w:lvl w:ilvl="3">
      <w:start w:val="1"/>
      <w:numFmt w:val="lowerRoman"/>
      <w:pStyle w:val="PLLroman4"/>
      <w:lvlText w:val="(%4)"/>
      <w:lvlJc w:val="left"/>
      <w:pPr>
        <w:tabs>
          <w:tab w:val="num" w:pos="1985"/>
        </w:tabs>
        <w:ind w:left="1985" w:hanging="567"/>
      </w:pPr>
      <w:rPr>
        <w:rFonts w:hint="default"/>
      </w:rPr>
    </w:lvl>
    <w:lvl w:ilvl="4">
      <w:start w:val="1"/>
      <w:numFmt w:val="lowerRoman"/>
      <w:pStyle w:val="PLLroman5"/>
      <w:lvlText w:val="(%5)"/>
      <w:lvlJc w:val="left"/>
      <w:pPr>
        <w:tabs>
          <w:tab w:val="num" w:pos="2693"/>
        </w:tabs>
        <w:ind w:left="2693" w:hanging="708"/>
      </w:pPr>
      <w:rPr>
        <w:rFonts w:hint="default"/>
      </w:rPr>
    </w:lvl>
    <w:lvl w:ilvl="5">
      <w:start w:val="1"/>
      <w:numFmt w:val="lowerRoman"/>
      <w:pStyle w:val="PLLroman6"/>
      <w:lvlText w:val="(%6)"/>
      <w:lvlJc w:val="left"/>
      <w:pPr>
        <w:tabs>
          <w:tab w:val="num" w:pos="3402"/>
        </w:tabs>
        <w:ind w:left="3402" w:hanging="709"/>
      </w:pPr>
      <w:rPr>
        <w:rFonts w:hint="default"/>
      </w:rPr>
    </w:lvl>
    <w:lvl w:ilvl="6">
      <w:start w:val="1"/>
      <w:numFmt w:val="lowerRoman"/>
      <w:pStyle w:val="PLLroman7"/>
      <w:lvlText w:val="(%7)"/>
      <w:lvlJc w:val="left"/>
      <w:pPr>
        <w:tabs>
          <w:tab w:val="num" w:pos="4111"/>
        </w:tabs>
        <w:ind w:left="4111" w:hanging="709"/>
      </w:pPr>
      <w:rPr>
        <w:rFonts w:hint="default"/>
      </w:rPr>
    </w:lvl>
    <w:lvl w:ilvl="7">
      <w:start w:val="1"/>
      <w:numFmt w:val="upperRoman"/>
      <w:lvlText w:val="(%8)"/>
      <w:lvlJc w:val="left"/>
      <w:pPr>
        <w:tabs>
          <w:tab w:val="num" w:pos="15594"/>
        </w:tabs>
        <w:ind w:left="15594" w:hanging="709"/>
      </w:pPr>
      <w:rPr>
        <w:rFonts w:hint="default"/>
      </w:rPr>
    </w:lvl>
    <w:lvl w:ilvl="8">
      <w:start w:val="1"/>
      <w:numFmt w:val="none"/>
      <w:lvlText w:val=""/>
      <w:lvlJc w:val="left"/>
      <w:pPr>
        <w:ind w:left="12617" w:firstLine="0"/>
      </w:pPr>
      <w:rPr>
        <w:rFonts w:hint="default"/>
      </w:rPr>
    </w:lvl>
  </w:abstractNum>
  <w:abstractNum w:abstractNumId="15" w15:restartNumberingAfterBreak="0">
    <w:nsid w:val="22F708B8"/>
    <w:multiLevelType w:val="multilevel"/>
    <w:tmpl w:val="2E340CBE"/>
    <w:lvl w:ilvl="0">
      <w:start w:val="1"/>
      <w:numFmt w:val="upperRoman"/>
      <w:pStyle w:val="DPLLromanMAY1"/>
      <w:lvlText w:val="%1."/>
      <w:lvlJc w:val="left"/>
      <w:pPr>
        <w:tabs>
          <w:tab w:val="num" w:pos="709"/>
        </w:tabs>
        <w:ind w:left="709" w:hanging="709"/>
      </w:pPr>
      <w:rPr>
        <w:rFonts w:ascii="Times New Roman" w:hAnsi="Times New Roman" w:cs="Times New Roman" w:hint="default"/>
        <w:b w:val="0"/>
        <w:i w:val="0"/>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6" w15:restartNumberingAfterBreak="0">
    <w:nsid w:val="23971282"/>
    <w:multiLevelType w:val="multilevel"/>
    <w:tmpl w:val="6E287446"/>
    <w:lvl w:ilvl="0">
      <w:start w:val="1"/>
      <w:numFmt w:val="upperLetter"/>
      <w:pStyle w:val="PLLAlphaMAY5"/>
      <w:lvlText w:val="%1."/>
      <w:lvlJc w:val="left"/>
      <w:pPr>
        <w:tabs>
          <w:tab w:val="num" w:pos="2608"/>
        </w:tabs>
        <w:ind w:left="2608" w:hanging="567"/>
      </w:pPr>
      <w:rPr>
        <w:rFonts w:ascii="Times New Roman" w:hAnsi="Times New Roman" w:cs="Times New Roman" w:hint="default"/>
        <w:b w:val="0"/>
        <w:i w:val="0"/>
        <w:sz w:val="22"/>
        <w:szCs w:val="22"/>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7" w15:restartNumberingAfterBreak="0">
    <w:nsid w:val="24ED50D9"/>
    <w:multiLevelType w:val="hybridMultilevel"/>
    <w:tmpl w:val="8B1C2D76"/>
    <w:lvl w:ilvl="0" w:tplc="301CF00C">
      <w:start w:val="1"/>
      <w:numFmt w:val="upperLetter"/>
      <w:lvlText w:val="%1."/>
      <w:lvlJc w:val="left"/>
      <w:pPr>
        <w:ind w:left="720" w:hanging="360"/>
      </w:pPr>
      <w:rPr>
        <w:rFonts w:hint="default"/>
        <w:b/>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25E6172F"/>
    <w:multiLevelType w:val="singleLevel"/>
    <w:tmpl w:val="6F4C54EA"/>
    <w:lvl w:ilvl="0">
      <w:start w:val="1"/>
      <w:numFmt w:val="lowerLetter"/>
      <w:pStyle w:val="PLLLista8"/>
      <w:lvlText w:val="(%1)"/>
      <w:lvlJc w:val="left"/>
      <w:pPr>
        <w:tabs>
          <w:tab w:val="num" w:pos="680"/>
        </w:tabs>
        <w:ind w:left="680" w:hanging="680"/>
      </w:pPr>
      <w:rPr>
        <w:rFonts w:ascii="Arial" w:hAnsi="Arial" w:hint="default"/>
        <w:b w:val="0"/>
        <w:i w:val="0"/>
        <w:sz w:val="20"/>
      </w:rPr>
    </w:lvl>
  </w:abstractNum>
  <w:abstractNum w:abstractNumId="19" w15:restartNumberingAfterBreak="0">
    <w:nsid w:val="2950185D"/>
    <w:multiLevelType w:val="multilevel"/>
    <w:tmpl w:val="B4468288"/>
    <w:lvl w:ilvl="0">
      <w:start w:val="1"/>
      <w:numFmt w:val="lowerLetter"/>
      <w:pStyle w:val="PLLalpha1"/>
      <w:lvlText w:val="(%1)"/>
      <w:lvlJc w:val="left"/>
      <w:pPr>
        <w:tabs>
          <w:tab w:val="num" w:pos="709"/>
        </w:tabs>
        <w:ind w:left="709" w:hanging="709"/>
      </w:pPr>
      <w:rPr>
        <w:rFonts w:ascii="Times New Roman" w:hAnsi="Times New Roman" w:cs="Times New Roman" w:hint="default"/>
        <w:b w:val="0"/>
        <w:i w:val="0"/>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0" w15:restartNumberingAfterBreak="0">
    <w:nsid w:val="2D595B3F"/>
    <w:multiLevelType w:val="multilevel"/>
    <w:tmpl w:val="DC424CBC"/>
    <w:styleLink w:val="TNR11"/>
    <w:lvl w:ilvl="0">
      <w:start w:val="1"/>
      <w:numFmt w:val="ordinalText"/>
      <w:lvlText w:val="%1."/>
      <w:lvlJc w:val="left"/>
      <w:pPr>
        <w:tabs>
          <w:tab w:val="num" w:pos="567"/>
        </w:tabs>
        <w:ind w:left="567" w:hanging="567"/>
      </w:pPr>
      <w:rPr>
        <w:rFonts w:ascii="Times New Roman" w:hAnsi="Times New Roman" w:hint="default"/>
        <w:b/>
        <w:i w:val="0"/>
        <w:sz w:val="22"/>
      </w:rPr>
    </w:lvl>
    <w:lvl w:ilvl="1">
      <w:start w:val="1"/>
      <w:numFmt w:val="lowerLetter"/>
      <w:lvlText w:val="(%2)"/>
      <w:lvlJc w:val="left"/>
      <w:pPr>
        <w:tabs>
          <w:tab w:val="num" w:pos="709"/>
        </w:tabs>
        <w:ind w:left="709" w:hanging="709"/>
      </w:pPr>
      <w:rPr>
        <w:rFonts w:ascii="Times New Roman" w:hAnsi="Times New Roman" w:hint="default"/>
        <w:b w:val="0"/>
        <w:i w:val="0"/>
        <w:sz w:val="22"/>
      </w:rPr>
    </w:lvl>
    <w:lvl w:ilvl="2">
      <w:start w:val="1"/>
      <w:numFmt w:val="lowerRoman"/>
      <w:lvlText w:val="(%3)"/>
      <w:lvlJc w:val="left"/>
      <w:pPr>
        <w:tabs>
          <w:tab w:val="num" w:pos="1276"/>
        </w:tabs>
        <w:ind w:left="1276" w:firstLine="0"/>
      </w:pPr>
      <w:rPr>
        <w:rFonts w:ascii="Times New Roman" w:hAnsi="Times New Roman" w:hint="default"/>
        <w:b w:val="0"/>
        <w:i w:val="0"/>
        <w:sz w:val="22"/>
      </w:rPr>
    </w:lvl>
    <w:lvl w:ilvl="3">
      <w:start w:val="1"/>
      <w:numFmt w:val="lowerLetter"/>
      <w:lvlText w:val="%4."/>
      <w:lvlJc w:val="left"/>
      <w:pPr>
        <w:tabs>
          <w:tab w:val="num" w:pos="2693"/>
        </w:tabs>
        <w:ind w:left="2693" w:hanging="652"/>
      </w:pPr>
      <w:rPr>
        <w:rFonts w:ascii="Times New Roman" w:hAnsi="Times New Roman" w:hint="default"/>
        <w:sz w:val="22"/>
      </w:rPr>
    </w:lvl>
    <w:lvl w:ilvl="4">
      <w:start w:val="1"/>
      <w:numFmt w:val="upperRoman"/>
      <w:lvlText w:val="(%5)"/>
      <w:lvlJc w:val="left"/>
      <w:pPr>
        <w:tabs>
          <w:tab w:val="num" w:pos="3289"/>
        </w:tabs>
        <w:ind w:left="3289" w:hanging="567"/>
      </w:pPr>
      <w:rPr>
        <w:rFonts w:ascii="Times New Roman" w:hAnsi="Times New Roman" w:hint="default"/>
        <w:sz w:val="22"/>
      </w:rPr>
    </w:lvl>
    <w:lvl w:ilvl="5">
      <w:start w:val="1"/>
      <w:numFmt w:val="upperRoman"/>
      <w:lvlText w:val="(%6)"/>
      <w:lvlJc w:val="left"/>
      <w:pPr>
        <w:tabs>
          <w:tab w:val="num" w:pos="3969"/>
        </w:tabs>
        <w:ind w:left="3969"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21" w15:restartNumberingAfterBreak="0">
    <w:nsid w:val="34252447"/>
    <w:multiLevelType w:val="multilevel"/>
    <w:tmpl w:val="D3A28C58"/>
    <w:lvl w:ilvl="0">
      <w:start w:val="1"/>
      <w:numFmt w:val="bullet"/>
      <w:pStyle w:val="PLLbullet3"/>
      <w:lvlText w:val=""/>
      <w:lvlJc w:val="left"/>
      <w:pPr>
        <w:tabs>
          <w:tab w:val="num" w:pos="1418"/>
        </w:tabs>
        <w:ind w:left="1418" w:hanging="709"/>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4A5631E"/>
    <w:multiLevelType w:val="multilevel"/>
    <w:tmpl w:val="1DC6A370"/>
    <w:lvl w:ilvl="0">
      <w:start w:val="1"/>
      <w:numFmt w:val="upperLetter"/>
      <w:pStyle w:val="PLLAlphaMAY3"/>
      <w:lvlText w:val="%1."/>
      <w:lvlJc w:val="left"/>
      <w:pPr>
        <w:tabs>
          <w:tab w:val="num" w:pos="1418"/>
        </w:tabs>
        <w:ind w:left="1418" w:hanging="709"/>
      </w:pPr>
      <w:rPr>
        <w:rFonts w:ascii="Times New Roman" w:hAnsi="Times New Roman" w:cs="Times New Roman" w:hint="default"/>
        <w:b w:val="0"/>
        <w:i w:val="0"/>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3" w15:restartNumberingAfterBreak="0">
    <w:nsid w:val="386006ED"/>
    <w:multiLevelType w:val="singleLevel"/>
    <w:tmpl w:val="EE6C4BC6"/>
    <w:lvl w:ilvl="0">
      <w:start w:val="1"/>
      <w:numFmt w:val="lowerLetter"/>
      <w:pStyle w:val="PLLalpha7"/>
      <w:lvlText w:val="(%1)"/>
      <w:lvlJc w:val="left"/>
      <w:pPr>
        <w:tabs>
          <w:tab w:val="num" w:pos="3969"/>
        </w:tabs>
        <w:ind w:left="3969" w:hanging="681"/>
      </w:pPr>
      <w:rPr>
        <w:rFonts w:ascii="Times New Roman" w:hAnsi="Times New Roman" w:cs="Times New Roman" w:hint="default"/>
        <w:b w:val="0"/>
        <w:i w:val="0"/>
        <w:sz w:val="22"/>
        <w:szCs w:val="22"/>
      </w:rPr>
    </w:lvl>
  </w:abstractNum>
  <w:abstractNum w:abstractNumId="24" w15:restartNumberingAfterBreak="0">
    <w:nsid w:val="39000510"/>
    <w:multiLevelType w:val="multilevel"/>
    <w:tmpl w:val="6242F0E8"/>
    <w:numStyleLink w:val="PLLMultinivel"/>
  </w:abstractNum>
  <w:abstractNum w:abstractNumId="25" w15:restartNumberingAfterBreak="0">
    <w:nsid w:val="39466F0C"/>
    <w:multiLevelType w:val="hybridMultilevel"/>
    <w:tmpl w:val="46C44D12"/>
    <w:lvl w:ilvl="0" w:tplc="A704B29A">
      <w:start w:val="1"/>
      <w:numFmt w:val="lowerRoman"/>
      <w:lvlText w:val="(%1)"/>
      <w:lvlJc w:val="left"/>
      <w:pPr>
        <w:ind w:left="1855" w:hanging="720"/>
      </w:pPr>
      <w:rPr>
        <w:rFonts w:hint="default"/>
      </w:rPr>
    </w:lvl>
    <w:lvl w:ilvl="1" w:tplc="0C0A0019" w:tentative="1">
      <w:start w:val="1"/>
      <w:numFmt w:val="lowerLetter"/>
      <w:lvlText w:val="%2."/>
      <w:lvlJc w:val="left"/>
      <w:pPr>
        <w:ind w:left="2215" w:hanging="360"/>
      </w:pPr>
    </w:lvl>
    <w:lvl w:ilvl="2" w:tplc="0C0A001B" w:tentative="1">
      <w:start w:val="1"/>
      <w:numFmt w:val="lowerRoman"/>
      <w:lvlText w:val="%3."/>
      <w:lvlJc w:val="right"/>
      <w:pPr>
        <w:ind w:left="2935" w:hanging="180"/>
      </w:pPr>
    </w:lvl>
    <w:lvl w:ilvl="3" w:tplc="0C0A000F" w:tentative="1">
      <w:start w:val="1"/>
      <w:numFmt w:val="decimal"/>
      <w:lvlText w:val="%4."/>
      <w:lvlJc w:val="left"/>
      <w:pPr>
        <w:ind w:left="3655" w:hanging="360"/>
      </w:pPr>
    </w:lvl>
    <w:lvl w:ilvl="4" w:tplc="0C0A0019" w:tentative="1">
      <w:start w:val="1"/>
      <w:numFmt w:val="lowerLetter"/>
      <w:lvlText w:val="%5."/>
      <w:lvlJc w:val="left"/>
      <w:pPr>
        <w:ind w:left="4375" w:hanging="360"/>
      </w:pPr>
    </w:lvl>
    <w:lvl w:ilvl="5" w:tplc="0C0A001B" w:tentative="1">
      <w:start w:val="1"/>
      <w:numFmt w:val="lowerRoman"/>
      <w:lvlText w:val="%6."/>
      <w:lvlJc w:val="right"/>
      <w:pPr>
        <w:ind w:left="5095" w:hanging="180"/>
      </w:pPr>
    </w:lvl>
    <w:lvl w:ilvl="6" w:tplc="0C0A000F" w:tentative="1">
      <w:start w:val="1"/>
      <w:numFmt w:val="decimal"/>
      <w:lvlText w:val="%7."/>
      <w:lvlJc w:val="left"/>
      <w:pPr>
        <w:ind w:left="5815" w:hanging="360"/>
      </w:pPr>
    </w:lvl>
    <w:lvl w:ilvl="7" w:tplc="0C0A0019" w:tentative="1">
      <w:start w:val="1"/>
      <w:numFmt w:val="lowerLetter"/>
      <w:lvlText w:val="%8."/>
      <w:lvlJc w:val="left"/>
      <w:pPr>
        <w:ind w:left="6535" w:hanging="360"/>
      </w:pPr>
    </w:lvl>
    <w:lvl w:ilvl="8" w:tplc="0C0A001B" w:tentative="1">
      <w:start w:val="1"/>
      <w:numFmt w:val="lowerRoman"/>
      <w:lvlText w:val="%9."/>
      <w:lvlJc w:val="right"/>
      <w:pPr>
        <w:ind w:left="7255" w:hanging="180"/>
      </w:pPr>
    </w:lvl>
  </w:abstractNum>
  <w:abstractNum w:abstractNumId="26" w15:restartNumberingAfterBreak="0">
    <w:nsid w:val="39B21F22"/>
    <w:multiLevelType w:val="hybridMultilevel"/>
    <w:tmpl w:val="84E854AC"/>
    <w:lvl w:ilvl="0" w:tplc="1E30620C">
      <w:start w:val="1"/>
      <w:numFmt w:val="decimal"/>
      <w:lvlText w:val="%1."/>
      <w:lvlJc w:val="left"/>
      <w:pPr>
        <w:tabs>
          <w:tab w:val="num" w:pos="720"/>
        </w:tabs>
        <w:ind w:left="720" w:hanging="360"/>
      </w:pPr>
      <w:rPr>
        <w:rFonts w:ascii="Times New Roman" w:hAnsi="Times New Roman" w:cs="Times New Roman" w:hint="default"/>
        <w:b w:val="0"/>
        <w:i w:val="0"/>
        <w:color w:val="auto"/>
        <w:sz w:val="24"/>
        <w:szCs w:val="24"/>
      </w:rPr>
    </w:lvl>
    <w:lvl w:ilvl="1" w:tplc="ECF86C42">
      <w:start w:val="1"/>
      <w:numFmt w:val="upperLetter"/>
      <w:lvlText w:val="%2."/>
      <w:lvlJc w:val="left"/>
      <w:pPr>
        <w:tabs>
          <w:tab w:val="num" w:pos="644"/>
        </w:tabs>
        <w:ind w:left="644" w:hanging="360"/>
      </w:pPr>
      <w:rPr>
        <w:rFonts w:cs="Times New Roman" w:hint="default"/>
        <w:b/>
      </w:rPr>
    </w:lvl>
    <w:lvl w:ilvl="2" w:tplc="DF5A0FAA">
      <w:start w:val="1"/>
      <w:numFmt w:val="upperLetter"/>
      <w:lvlText w:val="%3."/>
      <w:lvlJc w:val="left"/>
      <w:pPr>
        <w:tabs>
          <w:tab w:val="num" w:pos="2340"/>
        </w:tabs>
        <w:ind w:left="2340" w:hanging="360"/>
      </w:pPr>
      <w:rPr>
        <w:rFonts w:cs="Times New Roman" w:hint="default"/>
        <w:b/>
      </w:rPr>
    </w:lvl>
    <w:lvl w:ilvl="3" w:tplc="28385CF6">
      <w:start w:val="2"/>
      <w:numFmt w:val="bullet"/>
      <w:lvlText w:val="-"/>
      <w:lvlJc w:val="left"/>
      <w:pPr>
        <w:tabs>
          <w:tab w:val="num" w:pos="3240"/>
        </w:tabs>
        <w:ind w:left="3240" w:hanging="720"/>
      </w:pPr>
      <w:rPr>
        <w:rFonts w:ascii="Times New Roman" w:eastAsia="Times New Roman" w:hAnsi="Times New Roman" w:hint="default"/>
      </w:rPr>
    </w:lvl>
    <w:lvl w:ilvl="4" w:tplc="0C0A0019">
      <w:start w:val="1"/>
      <w:numFmt w:val="lowerLetter"/>
      <w:lvlText w:val="%5."/>
      <w:lvlJc w:val="left"/>
      <w:pPr>
        <w:tabs>
          <w:tab w:val="num" w:pos="3600"/>
        </w:tabs>
        <w:ind w:left="3600" w:hanging="360"/>
      </w:pPr>
      <w:rPr>
        <w:rFonts w:cs="Times New Roman"/>
      </w:rPr>
    </w:lvl>
    <w:lvl w:ilvl="5" w:tplc="8E0031B4">
      <w:start w:val="1"/>
      <w:numFmt w:val="lowerRoman"/>
      <w:lvlText w:val="(%6)"/>
      <w:lvlJc w:val="left"/>
      <w:pPr>
        <w:ind w:left="1713" w:hanging="720"/>
      </w:pPr>
      <w:rPr>
        <w:rFonts w:hint="default"/>
        <w:b w:val="0"/>
        <w:bCs w:val="0"/>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3D715F3D"/>
    <w:multiLevelType w:val="multilevel"/>
    <w:tmpl w:val="64FEDDB2"/>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rPr>
    </w:lvl>
    <w:lvl w:ilvl="3">
      <w:start w:val="1"/>
      <w:numFmt w:val="decimal"/>
      <w:lvlText w:val="%2.%3.%4."/>
      <w:lvlJc w:val="left"/>
      <w:pPr>
        <w:ind w:left="864"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8" w15:restartNumberingAfterBreak="0">
    <w:nsid w:val="3EBD2A5E"/>
    <w:multiLevelType w:val="multilevel"/>
    <w:tmpl w:val="3A1A6EB4"/>
    <w:lvl w:ilvl="0">
      <w:start w:val="1"/>
      <w:numFmt w:val="bullet"/>
      <w:lvlRestart w:val="0"/>
      <w:pStyle w:val="PLLguion1"/>
      <w:lvlText w:val=""/>
      <w:lvlJc w:val="left"/>
      <w:pPr>
        <w:tabs>
          <w:tab w:val="num" w:pos="709"/>
        </w:tabs>
        <w:ind w:left="709" w:hanging="709"/>
      </w:pPr>
      <w:rPr>
        <w:rFonts w:ascii="Symbol" w:hAnsi="Symbol" w:hint="default"/>
        <w:color w:val="000058"/>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FBC403A"/>
    <w:multiLevelType w:val="multilevel"/>
    <w:tmpl w:val="178CB75E"/>
    <w:lvl w:ilvl="0">
      <w:start w:val="1"/>
      <w:numFmt w:val="upperLetter"/>
      <w:pStyle w:val="PLLAlphaMAY6"/>
      <w:lvlText w:val="%1."/>
      <w:lvlJc w:val="left"/>
      <w:pPr>
        <w:tabs>
          <w:tab w:val="num" w:pos="3288"/>
        </w:tabs>
        <w:ind w:left="3288" w:hanging="680"/>
      </w:pPr>
      <w:rPr>
        <w:rFonts w:ascii="Times New Roman" w:hAnsi="Times New Roman" w:cs="Times New Roman" w:hint="default"/>
        <w:b w:val="0"/>
        <w:i w:val="0"/>
        <w:sz w:val="22"/>
        <w:szCs w:val="22"/>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0" w15:restartNumberingAfterBreak="0">
    <w:nsid w:val="432476DC"/>
    <w:multiLevelType w:val="multilevel"/>
    <w:tmpl w:val="6DFCE700"/>
    <w:lvl w:ilvl="0">
      <w:start w:val="1"/>
      <w:numFmt w:val="bullet"/>
      <w:lvlRestart w:val="0"/>
      <w:pStyle w:val="PLLguion4"/>
      <w:lvlText w:val=""/>
      <w:lvlJc w:val="left"/>
      <w:pPr>
        <w:tabs>
          <w:tab w:val="num" w:pos="1985"/>
        </w:tabs>
        <w:ind w:left="1985" w:hanging="567"/>
      </w:pPr>
      <w:rPr>
        <w:rFonts w:ascii="Symbol" w:hAnsi="Symbol" w:hint="default"/>
        <w:color w:val="000058"/>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3C76D9E"/>
    <w:multiLevelType w:val="multilevel"/>
    <w:tmpl w:val="F2D686F6"/>
    <w:lvl w:ilvl="0">
      <w:start w:val="1"/>
      <w:numFmt w:val="none"/>
      <w:suff w:val="nothing"/>
      <w:lvlText w:val=""/>
      <w:lvlJc w:val="left"/>
      <w:pPr>
        <w:ind w:left="0" w:firstLine="0"/>
      </w:pPr>
      <w:rPr>
        <w:rFonts w:hint="default"/>
      </w:rPr>
    </w:lvl>
    <w:lvl w:ilvl="1">
      <w:start w:val="1"/>
      <w:numFmt w:val="decimal"/>
      <w:lvlText w:val="%2."/>
      <w:lvlJc w:val="left"/>
      <w:pPr>
        <w:ind w:left="0" w:hanging="567"/>
      </w:pPr>
      <w:rPr>
        <w:rFonts w:hint="default"/>
      </w:rPr>
    </w:lvl>
    <w:lvl w:ilvl="2">
      <w:start w:val="1"/>
      <w:numFmt w:val="decimal"/>
      <w:pStyle w:val="PLLNivel2"/>
      <w:lvlText w:val="%2.%3."/>
      <w:lvlJc w:val="left"/>
      <w:pPr>
        <w:tabs>
          <w:tab w:val="num" w:pos="0"/>
        </w:tabs>
        <w:ind w:left="0" w:hanging="567"/>
      </w:pPr>
      <w:rPr>
        <w:rFonts w:hint="default"/>
        <w:b/>
        <w:i w:val="0"/>
        <w:sz w:val="22"/>
      </w:rPr>
    </w:lvl>
    <w:lvl w:ilvl="3">
      <w:start w:val="1"/>
      <w:numFmt w:val="decimal"/>
      <w:pStyle w:val="PLLNivel3"/>
      <w:lvlText w:val="%2.%3.%4."/>
      <w:lvlJc w:val="left"/>
      <w:pPr>
        <w:ind w:left="992" w:hanging="992"/>
      </w:pPr>
      <w:rPr>
        <w:rFonts w:hint="default"/>
      </w:rPr>
    </w:lvl>
    <w:lvl w:ilvl="4">
      <w:start w:val="1"/>
      <w:numFmt w:val="lowerLetter"/>
      <w:lvlText w:val="(%5)"/>
      <w:lvlJc w:val="left"/>
      <w:pPr>
        <w:tabs>
          <w:tab w:val="num" w:pos="992"/>
        </w:tabs>
        <w:ind w:left="992" w:hanging="992"/>
      </w:pPr>
      <w:rPr>
        <w:rFonts w:hint="default"/>
      </w:rPr>
    </w:lvl>
    <w:lvl w:ilvl="5">
      <w:start w:val="1"/>
      <w:numFmt w:val="lowerRoman"/>
      <w:lvlText w:val="(%6)"/>
      <w:lvlJc w:val="left"/>
      <w:pPr>
        <w:tabs>
          <w:tab w:val="num" w:pos="1843"/>
        </w:tabs>
        <w:ind w:left="1843" w:hanging="851"/>
      </w:pPr>
      <w:rPr>
        <w:rFonts w:hint="default"/>
      </w:rPr>
    </w:lvl>
    <w:lvl w:ilvl="6">
      <w:start w:val="1"/>
      <w:numFmt w:val="lowerLetter"/>
      <w:lvlText w:val="%7."/>
      <w:lvlJc w:val="left"/>
      <w:pPr>
        <w:tabs>
          <w:tab w:val="num" w:pos="2268"/>
        </w:tabs>
        <w:ind w:left="2268" w:hanging="425"/>
      </w:pPr>
      <w:rPr>
        <w:rFonts w:hint="default"/>
      </w:rPr>
    </w:lvl>
    <w:lvl w:ilvl="7">
      <w:start w:val="1"/>
      <w:numFmt w:val="upperRoman"/>
      <w:lvlText w:val="(%8)"/>
      <w:lvlJc w:val="left"/>
      <w:pPr>
        <w:tabs>
          <w:tab w:val="num" w:pos="2977"/>
        </w:tabs>
        <w:ind w:left="2977" w:hanging="709"/>
      </w:pPr>
      <w:rPr>
        <w:rFonts w:hint="default"/>
      </w:rPr>
    </w:lvl>
    <w:lvl w:ilvl="8">
      <w:start w:val="1"/>
      <w:numFmt w:val="none"/>
      <w:lvlText w:val=""/>
      <w:lvlJc w:val="left"/>
      <w:pPr>
        <w:ind w:left="0" w:firstLine="0"/>
      </w:pPr>
      <w:rPr>
        <w:rFonts w:hint="default"/>
      </w:rPr>
    </w:lvl>
  </w:abstractNum>
  <w:abstractNum w:abstractNumId="32" w15:restartNumberingAfterBreak="0">
    <w:nsid w:val="47072CE8"/>
    <w:multiLevelType w:val="hybridMultilevel"/>
    <w:tmpl w:val="2DAEE73C"/>
    <w:lvl w:ilvl="0" w:tplc="586464E6">
      <w:numFmt w:val="bullet"/>
      <w:lvlText w:val="-"/>
      <w:lvlJc w:val="left"/>
      <w:pPr>
        <w:ind w:left="720" w:hanging="360"/>
      </w:pPr>
      <w:rPr>
        <w:rFonts w:ascii="Times New Roman" w:eastAsiaTheme="minorHAnsi" w:hAnsi="Times New Roman"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4A3937CB"/>
    <w:multiLevelType w:val="multilevel"/>
    <w:tmpl w:val="C11E46DC"/>
    <w:lvl w:ilvl="0">
      <w:start w:val="1"/>
      <w:numFmt w:val="decimal"/>
      <w:pStyle w:val="APLLNivel1CLUSULA"/>
      <w:lvlText w:val="%1."/>
      <w:lvlJc w:val="left"/>
      <w:pPr>
        <w:tabs>
          <w:tab w:val="num" w:pos="709"/>
        </w:tabs>
        <w:ind w:left="709" w:hanging="709"/>
      </w:pPr>
      <w:rPr>
        <w:rFonts w:hint="default"/>
      </w:rPr>
    </w:lvl>
    <w:lvl w:ilvl="1">
      <w:start w:val="1"/>
      <w:numFmt w:val="decimal"/>
      <w:pStyle w:val="APLLNivel2subclusula"/>
      <w:lvlText w:val="%1.%2."/>
      <w:lvlJc w:val="left"/>
      <w:pPr>
        <w:tabs>
          <w:tab w:val="num" w:pos="709"/>
        </w:tabs>
        <w:ind w:left="709" w:hanging="709"/>
      </w:pPr>
      <w:rPr>
        <w:rFonts w:hint="default"/>
        <w:b/>
        <w:i w:val="0"/>
      </w:rPr>
    </w:lvl>
    <w:lvl w:ilvl="2">
      <w:start w:val="1"/>
      <w:numFmt w:val="decimal"/>
      <w:pStyle w:val="APLLNivel3"/>
      <w:lvlText w:val="%1.%2.%3."/>
      <w:lvlJc w:val="left"/>
      <w:pPr>
        <w:tabs>
          <w:tab w:val="num" w:pos="1418"/>
        </w:tabs>
        <w:ind w:left="1418" w:hanging="709"/>
      </w:pPr>
      <w:rPr>
        <w:rFonts w:hint="default"/>
        <w:b w:val="0"/>
        <w:i w:val="0"/>
        <w:sz w:val="18"/>
      </w:rPr>
    </w:lvl>
    <w:lvl w:ilvl="3">
      <w:start w:val="1"/>
      <w:numFmt w:val="lowerLetter"/>
      <w:pStyle w:val="APLLNivel3lista"/>
      <w:lvlText w:val="(%4)"/>
      <w:lvlJc w:val="left"/>
      <w:pPr>
        <w:tabs>
          <w:tab w:val="num" w:pos="1418"/>
        </w:tabs>
        <w:ind w:left="1418" w:hanging="709"/>
      </w:pPr>
      <w:rPr>
        <w:rFonts w:hint="default"/>
      </w:rPr>
    </w:lvl>
    <w:lvl w:ilvl="4">
      <w:start w:val="1"/>
      <w:numFmt w:val="lowerRoman"/>
      <w:pStyle w:val="APLLNivel4lista"/>
      <w:lvlText w:val="(%5)"/>
      <w:lvlJc w:val="left"/>
      <w:pPr>
        <w:tabs>
          <w:tab w:val="num" w:pos="1985"/>
        </w:tabs>
        <w:ind w:left="1985" w:hanging="567"/>
      </w:pPr>
      <w:rPr>
        <w:rFonts w:hint="default"/>
      </w:rPr>
    </w:lvl>
    <w:lvl w:ilvl="5">
      <w:start w:val="1"/>
      <w:numFmt w:val="lowerLetter"/>
      <w:pStyle w:val="APLLNivel5lista"/>
      <w:lvlText w:val="%6."/>
      <w:lvlJc w:val="left"/>
      <w:pPr>
        <w:tabs>
          <w:tab w:val="num" w:pos="2693"/>
        </w:tabs>
        <w:ind w:left="2693" w:hanging="708"/>
      </w:pPr>
      <w:rPr>
        <w:rFonts w:hint="default"/>
      </w:rPr>
    </w:lvl>
    <w:lvl w:ilvl="6">
      <w:start w:val="1"/>
      <w:numFmt w:val="upperRoman"/>
      <w:pStyle w:val="APLLnivel6lista"/>
      <w:lvlText w:val="(%7)"/>
      <w:lvlJc w:val="left"/>
      <w:pPr>
        <w:tabs>
          <w:tab w:val="num" w:pos="3402"/>
        </w:tabs>
        <w:ind w:left="3402" w:hanging="709"/>
      </w:pPr>
      <w:rPr>
        <w:rFonts w:hint="default"/>
      </w:rPr>
    </w:lvl>
    <w:lvl w:ilvl="7">
      <w:start w:val="1"/>
      <w:numFmt w:val="upperRoman"/>
      <w:lvlText w:val="(%8)"/>
      <w:lvlJc w:val="left"/>
      <w:pPr>
        <w:tabs>
          <w:tab w:val="num" w:pos="15594"/>
        </w:tabs>
        <w:ind w:left="15594" w:hanging="709"/>
      </w:pPr>
      <w:rPr>
        <w:rFonts w:hint="default"/>
      </w:rPr>
    </w:lvl>
    <w:lvl w:ilvl="8">
      <w:start w:val="1"/>
      <w:numFmt w:val="none"/>
      <w:lvlText w:val=""/>
      <w:lvlJc w:val="left"/>
      <w:pPr>
        <w:ind w:left="12617" w:firstLine="0"/>
      </w:pPr>
      <w:rPr>
        <w:rFonts w:hint="default"/>
      </w:rPr>
    </w:lvl>
  </w:abstractNum>
  <w:abstractNum w:abstractNumId="34" w15:restartNumberingAfterBreak="0">
    <w:nsid w:val="4B6B06C3"/>
    <w:multiLevelType w:val="multilevel"/>
    <w:tmpl w:val="C0D8B458"/>
    <w:lvl w:ilvl="0">
      <w:start w:val="1"/>
      <w:numFmt w:val="lowerLetter"/>
      <w:pStyle w:val="PLLalpha3"/>
      <w:lvlText w:val="(%1)"/>
      <w:lvlJc w:val="left"/>
      <w:pPr>
        <w:tabs>
          <w:tab w:val="num" w:pos="1418"/>
        </w:tabs>
        <w:ind w:left="1418" w:hanging="709"/>
      </w:pPr>
      <w:rPr>
        <w:rFonts w:hint="default"/>
        <w:b w:val="0"/>
        <w:i w:val="0"/>
        <w:sz w:val="22"/>
        <w:szCs w:val="22"/>
      </w:rPr>
    </w:lvl>
    <w:lvl w:ilvl="1">
      <w:start w:val="1"/>
      <w:numFmt w:val="decimal"/>
      <w:lvlText w:val="%1.%2."/>
      <w:lvlJc w:val="left"/>
      <w:pPr>
        <w:tabs>
          <w:tab w:val="num" w:pos="709"/>
        </w:tabs>
        <w:ind w:left="709" w:hanging="709"/>
      </w:pPr>
      <w:rPr>
        <w:rFonts w:hint="default"/>
        <w:b/>
        <w:i w:val="0"/>
      </w:rPr>
    </w:lvl>
    <w:lvl w:ilvl="2">
      <w:start w:val="1"/>
      <w:numFmt w:val="decimal"/>
      <w:lvlText w:val="%1.%2.%3."/>
      <w:lvlJc w:val="left"/>
      <w:pPr>
        <w:tabs>
          <w:tab w:val="num" w:pos="1418"/>
        </w:tabs>
        <w:ind w:left="1418" w:hanging="709"/>
      </w:pPr>
      <w:rPr>
        <w:rFonts w:hint="default"/>
        <w:b w:val="0"/>
        <w:i w:val="0"/>
        <w:sz w:val="18"/>
      </w:rPr>
    </w:lvl>
    <w:lvl w:ilvl="3">
      <w:start w:val="1"/>
      <w:numFmt w:val="lowerLetter"/>
      <w:lvlText w:val="(%4)"/>
      <w:lvlJc w:val="left"/>
      <w:pPr>
        <w:tabs>
          <w:tab w:val="num" w:pos="1418"/>
        </w:tabs>
        <w:ind w:left="1418" w:hanging="709"/>
      </w:pPr>
      <w:rPr>
        <w:rFonts w:hint="default"/>
      </w:rPr>
    </w:lvl>
    <w:lvl w:ilvl="4">
      <w:start w:val="1"/>
      <w:numFmt w:val="lowerRoman"/>
      <w:lvlText w:val="(%5)"/>
      <w:lvlJc w:val="left"/>
      <w:pPr>
        <w:tabs>
          <w:tab w:val="num" w:pos="1985"/>
        </w:tabs>
        <w:ind w:left="1985" w:hanging="567"/>
      </w:pPr>
      <w:rPr>
        <w:rFonts w:hint="default"/>
      </w:rPr>
    </w:lvl>
    <w:lvl w:ilvl="5">
      <w:start w:val="1"/>
      <w:numFmt w:val="lowerLetter"/>
      <w:lvlText w:val="%6."/>
      <w:lvlJc w:val="left"/>
      <w:pPr>
        <w:tabs>
          <w:tab w:val="num" w:pos="2693"/>
        </w:tabs>
        <w:ind w:left="2693" w:hanging="708"/>
      </w:pPr>
      <w:rPr>
        <w:rFonts w:hint="default"/>
      </w:rPr>
    </w:lvl>
    <w:lvl w:ilvl="6">
      <w:start w:val="1"/>
      <w:numFmt w:val="upperRoman"/>
      <w:lvlText w:val="(%7)"/>
      <w:lvlJc w:val="left"/>
      <w:pPr>
        <w:tabs>
          <w:tab w:val="num" w:pos="3402"/>
        </w:tabs>
        <w:ind w:left="3402" w:hanging="709"/>
      </w:pPr>
      <w:rPr>
        <w:rFonts w:hint="default"/>
      </w:rPr>
    </w:lvl>
    <w:lvl w:ilvl="7">
      <w:start w:val="1"/>
      <w:numFmt w:val="upperRoman"/>
      <w:lvlText w:val="(%8)"/>
      <w:lvlJc w:val="left"/>
      <w:pPr>
        <w:tabs>
          <w:tab w:val="num" w:pos="15594"/>
        </w:tabs>
        <w:ind w:left="15594" w:hanging="709"/>
      </w:pPr>
      <w:rPr>
        <w:rFonts w:hint="default"/>
      </w:rPr>
    </w:lvl>
    <w:lvl w:ilvl="8">
      <w:start w:val="1"/>
      <w:numFmt w:val="none"/>
      <w:lvlText w:val=""/>
      <w:lvlJc w:val="left"/>
      <w:pPr>
        <w:ind w:left="12617" w:firstLine="0"/>
      </w:pPr>
      <w:rPr>
        <w:rFonts w:hint="default"/>
      </w:rPr>
    </w:lvl>
  </w:abstractNum>
  <w:abstractNum w:abstractNumId="35" w15:restartNumberingAfterBreak="0">
    <w:nsid w:val="4E6D7BFA"/>
    <w:multiLevelType w:val="singleLevel"/>
    <w:tmpl w:val="7B5AA986"/>
    <w:lvl w:ilvl="0">
      <w:start w:val="1"/>
      <w:numFmt w:val="lowerLetter"/>
      <w:pStyle w:val="PLLalpha6"/>
      <w:lvlText w:val="(%1)"/>
      <w:lvlJc w:val="left"/>
      <w:pPr>
        <w:tabs>
          <w:tab w:val="num" w:pos="3288"/>
        </w:tabs>
        <w:ind w:left="3288" w:hanging="680"/>
      </w:pPr>
      <w:rPr>
        <w:rFonts w:ascii="Times New Roman" w:hAnsi="Times New Roman" w:cs="Times New Roman" w:hint="default"/>
        <w:b w:val="0"/>
        <w:i w:val="0"/>
        <w:sz w:val="22"/>
        <w:szCs w:val="22"/>
      </w:rPr>
    </w:lvl>
  </w:abstractNum>
  <w:abstractNum w:abstractNumId="36" w15:restartNumberingAfterBreak="0">
    <w:nsid w:val="4EB53B90"/>
    <w:multiLevelType w:val="multilevel"/>
    <w:tmpl w:val="0C56A6DE"/>
    <w:lvl w:ilvl="0">
      <w:start w:val="1"/>
      <w:numFmt w:val="lowerLetter"/>
      <w:pStyle w:val="PLLalpha4"/>
      <w:lvlText w:val="(%1)"/>
      <w:lvlJc w:val="left"/>
      <w:pPr>
        <w:tabs>
          <w:tab w:val="num" w:pos="1985"/>
        </w:tabs>
        <w:ind w:left="1985" w:hanging="567"/>
      </w:pPr>
      <w:rPr>
        <w:rFonts w:ascii="Times New Roman" w:hAnsi="Times New Roman" w:cs="Times New Roman" w:hint="default"/>
        <w:b w:val="0"/>
        <w:i w:val="0"/>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7" w15:restartNumberingAfterBreak="0">
    <w:nsid w:val="506B5143"/>
    <w:multiLevelType w:val="hybridMultilevel"/>
    <w:tmpl w:val="7EAE4430"/>
    <w:lvl w:ilvl="0" w:tplc="6C9E756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51421573"/>
    <w:multiLevelType w:val="multilevel"/>
    <w:tmpl w:val="EFEA68EC"/>
    <w:lvl w:ilvl="0">
      <w:start w:val="1"/>
      <w:numFmt w:val="bullet"/>
      <w:lvlRestart w:val="0"/>
      <w:pStyle w:val="PLLguion6"/>
      <w:lvlText w:val=""/>
      <w:lvlJc w:val="left"/>
      <w:pPr>
        <w:tabs>
          <w:tab w:val="num" w:pos="3288"/>
        </w:tabs>
        <w:ind w:left="3288" w:hanging="680"/>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25F4573"/>
    <w:multiLevelType w:val="multilevel"/>
    <w:tmpl w:val="83A61304"/>
    <w:lvl w:ilvl="0">
      <w:start w:val="1"/>
      <w:numFmt w:val="bullet"/>
      <w:lvlRestart w:val="0"/>
      <w:pStyle w:val="PLLguion5"/>
      <w:lvlText w:val=""/>
      <w:lvlJc w:val="left"/>
      <w:pPr>
        <w:tabs>
          <w:tab w:val="num" w:pos="2693"/>
        </w:tabs>
        <w:ind w:left="2693" w:hanging="708"/>
      </w:pPr>
      <w:rPr>
        <w:rFonts w:ascii="Symbol" w:hAnsi="Symbol" w:hint="default"/>
        <w:color w:val="000058"/>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3B17CF4"/>
    <w:multiLevelType w:val="multilevel"/>
    <w:tmpl w:val="1F6A6860"/>
    <w:lvl w:ilvl="0">
      <w:start w:val="1"/>
      <w:numFmt w:val="bullet"/>
      <w:lvlRestart w:val="0"/>
      <w:pStyle w:val="PLLguion3"/>
      <w:lvlText w:val=""/>
      <w:lvlJc w:val="left"/>
      <w:pPr>
        <w:tabs>
          <w:tab w:val="num" w:pos="1389"/>
        </w:tabs>
        <w:ind w:left="1418" w:hanging="709"/>
      </w:pPr>
      <w:rPr>
        <w:rFonts w:ascii="Symbol" w:hAnsi="Symbol" w:hint="default"/>
        <w:color w:val="000058"/>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4422DF9"/>
    <w:multiLevelType w:val="hybridMultilevel"/>
    <w:tmpl w:val="453684BA"/>
    <w:lvl w:ilvl="0" w:tplc="59F22C36">
      <w:start w:val="1"/>
      <w:numFmt w:val="decimal"/>
      <w:lvlText w:val="%1."/>
      <w:lvlJc w:val="left"/>
      <w:pPr>
        <w:ind w:left="720" w:hanging="360"/>
      </w:pPr>
      <w:rPr>
        <w:rFonts w:hint="default"/>
        <w:i w:val="0"/>
        <w:iCs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55F728E2"/>
    <w:multiLevelType w:val="multilevel"/>
    <w:tmpl w:val="343C6A0C"/>
    <w:lvl w:ilvl="0">
      <w:start w:val="1"/>
      <w:numFmt w:val="upperRoman"/>
      <w:pStyle w:val="DPLLromanMAY3"/>
      <w:lvlText w:val="%1."/>
      <w:lvlJc w:val="left"/>
      <w:pPr>
        <w:tabs>
          <w:tab w:val="num" w:pos="1418"/>
        </w:tabs>
        <w:ind w:left="1418" w:hanging="709"/>
      </w:pPr>
      <w:rPr>
        <w:rFonts w:ascii="Times New Roman" w:hAnsi="Times New Roman" w:cs="Times New Roman" w:hint="default"/>
        <w:b w:val="0"/>
        <w:i w:val="0"/>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3" w15:restartNumberingAfterBreak="0">
    <w:nsid w:val="56E26FEF"/>
    <w:multiLevelType w:val="singleLevel"/>
    <w:tmpl w:val="B380DFDC"/>
    <w:lvl w:ilvl="0">
      <w:start w:val="1"/>
      <w:numFmt w:val="lowerRoman"/>
      <w:pStyle w:val="PLLAnexo"/>
      <w:lvlText w:val="(%1)"/>
      <w:lvlJc w:val="left"/>
      <w:pPr>
        <w:tabs>
          <w:tab w:val="num" w:pos="2608"/>
        </w:tabs>
        <w:ind w:left="2608" w:hanging="567"/>
      </w:pPr>
      <w:rPr>
        <w:rFonts w:ascii="Times New Roman" w:hAnsi="Times New Roman" w:cs="Times New Roman" w:hint="default"/>
        <w:b w:val="0"/>
        <w:i w:val="0"/>
        <w:sz w:val="22"/>
        <w:szCs w:val="22"/>
      </w:rPr>
    </w:lvl>
  </w:abstractNum>
  <w:abstractNum w:abstractNumId="44" w15:restartNumberingAfterBreak="0">
    <w:nsid w:val="57AF1B3E"/>
    <w:multiLevelType w:val="multilevel"/>
    <w:tmpl w:val="00DEA258"/>
    <w:lvl w:ilvl="0">
      <w:start w:val="1"/>
      <w:numFmt w:val="lowerLetter"/>
      <w:pStyle w:val="PLLalpha5"/>
      <w:lvlText w:val="(%1)"/>
      <w:lvlJc w:val="left"/>
      <w:pPr>
        <w:tabs>
          <w:tab w:val="num" w:pos="2693"/>
        </w:tabs>
        <w:ind w:left="2693" w:hanging="708"/>
      </w:pPr>
      <w:rPr>
        <w:rFonts w:ascii="Times New Roman" w:hAnsi="Times New Roman" w:cs="Times New Roman" w:hint="default"/>
        <w:b w:val="0"/>
        <w:i w:val="0"/>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5" w15:restartNumberingAfterBreak="0">
    <w:nsid w:val="58A56CDE"/>
    <w:multiLevelType w:val="multilevel"/>
    <w:tmpl w:val="23003738"/>
    <w:lvl w:ilvl="0">
      <w:start w:val="1"/>
      <w:numFmt w:val="bullet"/>
      <w:pStyle w:val="PLLbullet5"/>
      <w:lvlText w:val=""/>
      <w:lvlJc w:val="left"/>
      <w:pPr>
        <w:tabs>
          <w:tab w:val="num" w:pos="2693"/>
        </w:tabs>
        <w:ind w:left="2693" w:hanging="708"/>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5CA97764"/>
    <w:multiLevelType w:val="hybridMultilevel"/>
    <w:tmpl w:val="8F145C5E"/>
    <w:lvl w:ilvl="0" w:tplc="20141C82">
      <w:start w:val="1"/>
      <w:numFmt w:val="upperRoman"/>
      <w:lvlText w:val="%1."/>
      <w:lvlJc w:val="left"/>
      <w:pPr>
        <w:ind w:left="1080" w:hanging="720"/>
      </w:pPr>
      <w:rPr>
        <w:rFonts w:hint="default"/>
        <w:b/>
        <w:bCs/>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5D194207"/>
    <w:multiLevelType w:val="multilevel"/>
    <w:tmpl w:val="152A5866"/>
    <w:lvl w:ilvl="0">
      <w:start w:val="1"/>
      <w:numFmt w:val="decimal"/>
      <w:pStyle w:val="ScheduleHeading"/>
      <w:suff w:val="nothing"/>
      <w:lvlText w:val="Schedule %1"/>
      <w:lvlJc w:val="left"/>
      <w:pPr>
        <w:ind w:left="0" w:firstLine="0"/>
      </w:pPr>
      <w:rPr>
        <w:rFonts w:ascii="Arial" w:hAnsi="Arial" w:hint="default"/>
        <w:b/>
        <w:i w:val="0"/>
        <w:sz w:val="23"/>
      </w:rPr>
    </w:lvl>
    <w:lvl w:ilvl="1">
      <w:start w:val="1"/>
      <w:numFmt w:val="upperRoman"/>
      <w:suff w:val="nothing"/>
      <w:lvlText w:val="Part %2"/>
      <w:lvlJc w:val="left"/>
      <w:pPr>
        <w:ind w:left="0" w:firstLine="0"/>
      </w:pPr>
      <w:rPr>
        <w:rFonts w:ascii="Arial" w:hAnsi="Arial" w:hint="default"/>
        <w:b/>
        <w:i w:val="0"/>
        <w:caps/>
        <w:sz w:val="23"/>
      </w:rPr>
    </w:lvl>
    <w:lvl w:ilvl="2">
      <w:start w:val="1"/>
      <w:numFmt w:val="decimal"/>
      <w:lvlText w:val="%3."/>
      <w:lvlJc w:val="left"/>
      <w:pPr>
        <w:tabs>
          <w:tab w:val="num" w:pos="624"/>
        </w:tabs>
        <w:ind w:left="624" w:hanging="624"/>
      </w:pPr>
      <w:rPr>
        <w:rFonts w:ascii="Helvetica" w:hAnsi="Helvetica" w:hint="default"/>
        <w:b w:val="0"/>
        <w:i w:val="0"/>
        <w:sz w:val="20"/>
      </w:rPr>
    </w:lvl>
    <w:lvl w:ilvl="3">
      <w:start w:val="1"/>
      <w:numFmt w:val="decimal"/>
      <w:lvlText w:val="%3.%4"/>
      <w:lvlJc w:val="left"/>
      <w:pPr>
        <w:tabs>
          <w:tab w:val="num" w:pos="624"/>
        </w:tabs>
        <w:ind w:left="624" w:hanging="624"/>
      </w:pPr>
      <w:rPr>
        <w:rFonts w:ascii="Helvetica" w:hAnsi="Helvetica" w:hint="default"/>
        <w:b w:val="0"/>
        <w:i w:val="0"/>
        <w:sz w:val="20"/>
      </w:rPr>
    </w:lvl>
    <w:lvl w:ilvl="4">
      <w:start w:val="1"/>
      <w:numFmt w:val="lowerLetter"/>
      <w:lvlText w:val="(%5)"/>
      <w:lvlJc w:val="left"/>
      <w:pPr>
        <w:tabs>
          <w:tab w:val="num" w:pos="624"/>
        </w:tabs>
        <w:ind w:left="624" w:hanging="624"/>
      </w:pPr>
      <w:rPr>
        <w:rFonts w:ascii="Arial" w:hAnsi="Arial" w:hint="default"/>
        <w:b w:val="0"/>
        <w:i w:val="0"/>
        <w:sz w:val="20"/>
      </w:rPr>
    </w:lvl>
    <w:lvl w:ilvl="5">
      <w:start w:val="1"/>
      <w:numFmt w:val="lowerRoman"/>
      <w:lvlText w:val="(%6)"/>
      <w:lvlJc w:val="left"/>
      <w:pPr>
        <w:tabs>
          <w:tab w:val="num" w:pos="1361"/>
        </w:tabs>
        <w:ind w:left="1361" w:hanging="737"/>
      </w:pPr>
      <w:rPr>
        <w:rFonts w:ascii="Arial" w:hAnsi="Arial" w:hint="default"/>
        <w:b w:val="0"/>
        <w:i w:val="0"/>
        <w:sz w:val="20"/>
      </w:rPr>
    </w:lvl>
    <w:lvl w:ilvl="6">
      <w:start w:val="1"/>
      <w:numFmt w:val="lowerLetter"/>
      <w:lvlText w:val="(%7)"/>
      <w:lvlJc w:val="left"/>
      <w:pPr>
        <w:tabs>
          <w:tab w:val="num" w:pos="1361"/>
        </w:tabs>
        <w:ind w:left="1361" w:hanging="737"/>
      </w:pPr>
      <w:rPr>
        <w:rFonts w:ascii="Arial" w:hAnsi="Arial" w:hint="default"/>
        <w:b w:val="0"/>
        <w:i w:val="0"/>
        <w:sz w:val="20"/>
      </w:rPr>
    </w:lvl>
    <w:lvl w:ilvl="7">
      <w:start w:val="1"/>
      <w:numFmt w:val="lowerRoman"/>
      <w:lvlText w:val="(%8)"/>
      <w:lvlJc w:val="left"/>
      <w:pPr>
        <w:tabs>
          <w:tab w:val="num" w:pos="2041"/>
        </w:tabs>
        <w:ind w:left="2041" w:hanging="680"/>
      </w:pPr>
      <w:rPr>
        <w:rFonts w:ascii="Arial" w:hAnsi="Arial" w:hint="default"/>
        <w:b w:val="0"/>
        <w:i w:val="0"/>
        <w:sz w:val="20"/>
      </w:rPr>
    </w:lvl>
    <w:lvl w:ilvl="8">
      <w:start w:val="1"/>
      <w:numFmt w:val="upperLetter"/>
      <w:lvlText w:val="(%9)"/>
      <w:lvlJc w:val="left"/>
      <w:pPr>
        <w:tabs>
          <w:tab w:val="num" w:pos="2041"/>
        </w:tabs>
        <w:ind w:left="2041" w:hanging="680"/>
      </w:pPr>
      <w:rPr>
        <w:rFonts w:ascii="Arial" w:hAnsi="Arial" w:hint="default"/>
        <w:b w:val="0"/>
        <w:i w:val="0"/>
        <w:sz w:val="20"/>
      </w:rPr>
    </w:lvl>
  </w:abstractNum>
  <w:abstractNum w:abstractNumId="48" w15:restartNumberingAfterBreak="0">
    <w:nsid w:val="5FCB4379"/>
    <w:multiLevelType w:val="multilevel"/>
    <w:tmpl w:val="D6EE0896"/>
    <w:lvl w:ilvl="0">
      <w:start w:val="1"/>
      <w:numFmt w:val="upperLetter"/>
      <w:pStyle w:val="CPLLExpositivos"/>
      <w:lvlText w:val="(%1)"/>
      <w:lvlJc w:val="left"/>
      <w:pPr>
        <w:tabs>
          <w:tab w:val="num" w:pos="709"/>
        </w:tabs>
        <w:ind w:left="709" w:hanging="709"/>
      </w:pPr>
      <w:rPr>
        <w:rFonts w:ascii="Times New Roman" w:hAnsi="Times New Roman" w:cs="Times New Roman" w:hint="default"/>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9" w15:restartNumberingAfterBreak="0">
    <w:nsid w:val="64C114EF"/>
    <w:multiLevelType w:val="multilevel"/>
    <w:tmpl w:val="8A14A396"/>
    <w:lvl w:ilvl="0">
      <w:start w:val="1"/>
      <w:numFmt w:val="bullet"/>
      <w:pStyle w:val="PLLbullet4"/>
      <w:lvlText w:val=""/>
      <w:lvlJc w:val="left"/>
      <w:pPr>
        <w:tabs>
          <w:tab w:val="num" w:pos="1985"/>
        </w:tabs>
        <w:ind w:left="1985" w:hanging="567"/>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1985"/>
        </w:tabs>
        <w:ind w:left="1985"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64C47EA1"/>
    <w:multiLevelType w:val="singleLevel"/>
    <w:tmpl w:val="4B86D274"/>
    <w:lvl w:ilvl="0">
      <w:start w:val="1"/>
      <w:numFmt w:val="lowerRoman"/>
      <w:pStyle w:val="PLLSchedule"/>
      <w:lvlText w:val="(%1)"/>
      <w:lvlJc w:val="left"/>
      <w:pPr>
        <w:tabs>
          <w:tab w:val="num" w:pos="680"/>
        </w:tabs>
        <w:ind w:left="680" w:hanging="680"/>
      </w:pPr>
      <w:rPr>
        <w:rFonts w:ascii="Arial" w:hAnsi="Arial" w:hint="default"/>
        <w:b w:val="0"/>
        <w:i w:val="0"/>
        <w:sz w:val="20"/>
      </w:rPr>
    </w:lvl>
  </w:abstractNum>
  <w:abstractNum w:abstractNumId="51" w15:restartNumberingAfterBreak="0">
    <w:nsid w:val="6A7F67AA"/>
    <w:multiLevelType w:val="multilevel"/>
    <w:tmpl w:val="9B5C8958"/>
    <w:lvl w:ilvl="0">
      <w:start w:val="1"/>
      <w:numFmt w:val="upperLetter"/>
      <w:pStyle w:val="PLLAlphaMAY4"/>
      <w:lvlText w:val="%1."/>
      <w:lvlJc w:val="left"/>
      <w:pPr>
        <w:tabs>
          <w:tab w:val="num" w:pos="1985"/>
        </w:tabs>
        <w:ind w:left="1985" w:hanging="567"/>
      </w:pPr>
      <w:rPr>
        <w:rFonts w:ascii="Times New Roman" w:hAnsi="Times New Roman" w:cs="Times New Roman" w:hint="default"/>
        <w:b w:val="0"/>
        <w:i w:val="0"/>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2" w15:restartNumberingAfterBreak="0">
    <w:nsid w:val="6B1D1232"/>
    <w:multiLevelType w:val="multilevel"/>
    <w:tmpl w:val="64CA0FF0"/>
    <w:lvl w:ilvl="0">
      <w:start w:val="1"/>
      <w:numFmt w:val="decimal"/>
      <w:pStyle w:val="APLLNivel0clusula"/>
      <w:lvlText w:val="%1"/>
      <w:lvlJc w:val="left"/>
      <w:pPr>
        <w:tabs>
          <w:tab w:val="num" w:pos="680"/>
        </w:tabs>
        <w:ind w:left="680" w:hanging="680"/>
      </w:pPr>
      <w:rPr>
        <w:rFonts w:hint="default"/>
        <w:b/>
        <w:i w:val="0"/>
        <w:sz w:val="22"/>
      </w:rPr>
    </w:lvl>
    <w:lvl w:ilvl="1">
      <w:start w:val="1"/>
      <w:numFmt w:val="decimal"/>
      <w:lvlText w:val="%1.%2"/>
      <w:lvlJc w:val="left"/>
      <w:pPr>
        <w:tabs>
          <w:tab w:val="num" w:pos="680"/>
        </w:tabs>
        <w:ind w:left="680" w:hanging="680"/>
      </w:pPr>
      <w:rPr>
        <w:rFonts w:hint="default"/>
        <w:b/>
        <w:i w:val="0"/>
        <w:sz w:val="21"/>
      </w:rPr>
    </w:lvl>
    <w:lvl w:ilvl="2">
      <w:start w:val="1"/>
      <w:numFmt w:val="decimal"/>
      <w:lvlText w:val="%1.%2.%3"/>
      <w:lvlJc w:val="left"/>
      <w:pPr>
        <w:tabs>
          <w:tab w:val="num" w:pos="1361"/>
        </w:tabs>
        <w:ind w:left="1361" w:hanging="681"/>
      </w:pPr>
      <w:rPr>
        <w:rFonts w:ascii="Times New Roman" w:hAnsi="Times New Roman" w:cs="Times New Roman"/>
        <w:b/>
        <w:bCs w:val="0"/>
        <w:i w:val="0"/>
        <w:iCs w:val="0"/>
        <w:caps w:val="0"/>
        <w:smallCaps w:val="0"/>
        <w:strike w:val="0"/>
        <w:dstrike w:val="0"/>
        <w:noProof w:val="0"/>
        <w:vanish w:val="0"/>
        <w:color w:val="000000"/>
        <w:spacing w:val="0"/>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Roman"/>
      <w:pStyle w:val="Level4"/>
      <w:lvlText w:val="(%4)"/>
      <w:lvlJc w:val="left"/>
      <w:pPr>
        <w:tabs>
          <w:tab w:val="num" w:pos="2041"/>
        </w:tabs>
        <w:ind w:left="2041" w:hanging="680"/>
      </w:pPr>
      <w:rPr>
        <w:rFonts w:ascii="Times New Roman" w:hAnsi="Times New Roman" w:cs="Times New Roman"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53" w15:restartNumberingAfterBreak="0">
    <w:nsid w:val="6BEA4D3C"/>
    <w:multiLevelType w:val="multilevel"/>
    <w:tmpl w:val="40846E60"/>
    <w:lvl w:ilvl="0">
      <w:start w:val="1"/>
      <w:numFmt w:val="upperLetter"/>
      <w:pStyle w:val="PLLAlphaMAY7"/>
      <w:lvlText w:val="%1."/>
      <w:lvlJc w:val="left"/>
      <w:pPr>
        <w:tabs>
          <w:tab w:val="num" w:pos="3969"/>
        </w:tabs>
        <w:ind w:left="3969" w:hanging="681"/>
      </w:pPr>
      <w:rPr>
        <w:rFonts w:ascii="Times New Roman" w:hAnsi="Times New Roman" w:cs="Times New Roman" w:hint="default"/>
        <w:b w:val="0"/>
        <w:i w:val="0"/>
        <w:sz w:val="22"/>
        <w:szCs w:val="22"/>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4" w15:restartNumberingAfterBreak="0">
    <w:nsid w:val="77F609F2"/>
    <w:multiLevelType w:val="hybridMultilevel"/>
    <w:tmpl w:val="3E9A9C5C"/>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15:restartNumberingAfterBreak="0">
    <w:nsid w:val="7BE859CD"/>
    <w:multiLevelType w:val="multilevel"/>
    <w:tmpl w:val="C3A2B828"/>
    <w:lvl w:ilvl="0">
      <w:start w:val="1"/>
      <w:numFmt w:val="bullet"/>
      <w:pStyle w:val="PLLbullet6"/>
      <w:lvlText w:val=""/>
      <w:lvlJc w:val="left"/>
      <w:pPr>
        <w:tabs>
          <w:tab w:val="num" w:pos="3402"/>
        </w:tabs>
        <w:ind w:left="3402" w:hanging="709"/>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7E1FE0DE"/>
    <w:multiLevelType w:val="hybridMultilevel"/>
    <w:tmpl w:val="423ECDAC"/>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2584100">
    <w:abstractNumId w:val="27"/>
  </w:num>
  <w:num w:numId="2" w16cid:durableId="1881817915">
    <w:abstractNumId w:val="5"/>
  </w:num>
  <w:num w:numId="3" w16cid:durableId="1371759658">
    <w:abstractNumId w:val="48"/>
  </w:num>
  <w:num w:numId="4" w16cid:durableId="161285037">
    <w:abstractNumId w:val="34"/>
  </w:num>
  <w:num w:numId="5" w16cid:durableId="2082560299">
    <w:abstractNumId w:val="36"/>
  </w:num>
  <w:num w:numId="6" w16cid:durableId="863595303">
    <w:abstractNumId w:val="44"/>
  </w:num>
  <w:num w:numId="7" w16cid:durableId="2054382334">
    <w:abstractNumId w:val="35"/>
  </w:num>
  <w:num w:numId="8" w16cid:durableId="1177423972">
    <w:abstractNumId w:val="23"/>
  </w:num>
  <w:num w:numId="9" w16cid:durableId="2136293586">
    <w:abstractNumId w:val="21"/>
  </w:num>
  <w:num w:numId="10" w16cid:durableId="188035577">
    <w:abstractNumId w:val="49"/>
  </w:num>
  <w:num w:numId="11" w16cid:durableId="1515536836">
    <w:abstractNumId w:val="45"/>
  </w:num>
  <w:num w:numId="12" w16cid:durableId="1051877791">
    <w:abstractNumId w:val="55"/>
  </w:num>
  <w:num w:numId="13" w16cid:durableId="1153259864">
    <w:abstractNumId w:val="12"/>
  </w:num>
  <w:num w:numId="14" w16cid:durableId="227545059">
    <w:abstractNumId w:val="9"/>
  </w:num>
  <w:num w:numId="15" w16cid:durableId="1743328089">
    <w:abstractNumId w:val="52"/>
  </w:num>
  <w:num w:numId="16" w16cid:durableId="1687708529">
    <w:abstractNumId w:val="10"/>
  </w:num>
  <w:num w:numId="17" w16cid:durableId="1810242872">
    <w:abstractNumId w:val="22"/>
  </w:num>
  <w:num w:numId="18" w16cid:durableId="966546938">
    <w:abstractNumId w:val="51"/>
  </w:num>
  <w:num w:numId="19" w16cid:durableId="1123113435">
    <w:abstractNumId w:val="16"/>
  </w:num>
  <w:num w:numId="20" w16cid:durableId="1098210920">
    <w:abstractNumId w:val="29"/>
  </w:num>
  <w:num w:numId="21" w16cid:durableId="1297222991">
    <w:abstractNumId w:val="53"/>
  </w:num>
  <w:num w:numId="22" w16cid:durableId="386494923">
    <w:abstractNumId w:val="42"/>
  </w:num>
  <w:num w:numId="23" w16cid:durableId="524099769">
    <w:abstractNumId w:val="30"/>
  </w:num>
  <w:num w:numId="24" w16cid:durableId="1500736518">
    <w:abstractNumId w:val="39"/>
  </w:num>
  <w:num w:numId="25" w16cid:durableId="864440170">
    <w:abstractNumId w:val="38"/>
  </w:num>
  <w:num w:numId="26" w16cid:durableId="1189876445">
    <w:abstractNumId w:val="13"/>
  </w:num>
  <w:num w:numId="27" w16cid:durableId="1314215314">
    <w:abstractNumId w:val="47"/>
  </w:num>
  <w:num w:numId="28" w16cid:durableId="1529483839">
    <w:abstractNumId w:val="19"/>
  </w:num>
  <w:num w:numId="29" w16cid:durableId="1021781531">
    <w:abstractNumId w:val="11"/>
  </w:num>
  <w:num w:numId="30" w16cid:durableId="861237634">
    <w:abstractNumId w:val="28"/>
  </w:num>
  <w:num w:numId="31" w16cid:durableId="1740253729">
    <w:abstractNumId w:val="14"/>
  </w:num>
  <w:num w:numId="32" w16cid:durableId="1538161313">
    <w:abstractNumId w:val="31"/>
  </w:num>
  <w:num w:numId="33" w16cid:durableId="1060252794">
    <w:abstractNumId w:val="43"/>
  </w:num>
  <w:num w:numId="34" w16cid:durableId="756629689">
    <w:abstractNumId w:val="18"/>
  </w:num>
  <w:num w:numId="35" w16cid:durableId="589660107">
    <w:abstractNumId w:val="6"/>
  </w:num>
  <w:num w:numId="36" w16cid:durableId="1682274120">
    <w:abstractNumId w:val="50"/>
  </w:num>
  <w:num w:numId="37" w16cid:durableId="1209415279">
    <w:abstractNumId w:val="3"/>
  </w:num>
  <w:num w:numId="38" w16cid:durableId="966206305">
    <w:abstractNumId w:val="8"/>
  </w:num>
  <w:num w:numId="39" w16cid:durableId="775949263">
    <w:abstractNumId w:val="4"/>
  </w:num>
  <w:num w:numId="40" w16cid:durableId="529611877">
    <w:abstractNumId w:val="33"/>
  </w:num>
  <w:num w:numId="41" w16cid:durableId="195048950">
    <w:abstractNumId w:val="24"/>
  </w:num>
  <w:num w:numId="42" w16cid:durableId="1763377383">
    <w:abstractNumId w:val="20"/>
  </w:num>
  <w:num w:numId="43" w16cid:durableId="1862009410">
    <w:abstractNumId w:val="40"/>
  </w:num>
  <w:num w:numId="44" w16cid:durableId="1154103323">
    <w:abstractNumId w:val="15"/>
  </w:num>
  <w:num w:numId="45" w16cid:durableId="790972511">
    <w:abstractNumId w:val="46"/>
  </w:num>
  <w:num w:numId="46" w16cid:durableId="947781798">
    <w:abstractNumId w:val="17"/>
  </w:num>
  <w:num w:numId="47" w16cid:durableId="982540886">
    <w:abstractNumId w:val="25"/>
  </w:num>
  <w:num w:numId="48" w16cid:durableId="149448755">
    <w:abstractNumId w:val="7"/>
  </w:num>
  <w:num w:numId="49" w16cid:durableId="1084378798">
    <w:abstractNumId w:val="26"/>
  </w:num>
  <w:num w:numId="50" w16cid:durableId="2052922641">
    <w:abstractNumId w:val="41"/>
  </w:num>
  <w:num w:numId="51" w16cid:durableId="1141535708">
    <w:abstractNumId w:val="32"/>
  </w:num>
  <w:num w:numId="52" w16cid:durableId="579368146">
    <w:abstractNumId w:val="37"/>
  </w:num>
  <w:num w:numId="53" w16cid:durableId="1820800837">
    <w:abstractNumId w:val="2"/>
  </w:num>
  <w:num w:numId="54" w16cid:durableId="647856056">
    <w:abstractNumId w:val="0"/>
  </w:num>
  <w:num w:numId="55" w16cid:durableId="1325009306">
    <w:abstractNumId w:val="56"/>
  </w:num>
  <w:num w:numId="56" w16cid:durableId="1332099314">
    <w:abstractNumId w:val="54"/>
  </w:num>
  <w:num w:numId="57" w16cid:durableId="1390107103">
    <w:abstractNumId w:val="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ES" w:vendorID="64" w:dllVersion="6" w:nlCheck="1" w:checkStyle="0"/>
  <w:activeWritingStyle w:appName="MSWord" w:lang="en-GB" w:vendorID="64" w:dllVersion="6" w:nlCheck="1" w:checkStyle="1"/>
  <w:activeWritingStyle w:appName="MSWord" w:lang="es-ES" w:vendorID="64" w:dllVersion="4096" w:nlCheck="1" w:checkStyle="0"/>
  <w:activeWritingStyle w:appName="MSWord" w:lang="en-GB" w:vendorID="64" w:dllVersion="4096" w:nlCheck="1" w:checkStyle="0"/>
  <w:activeWritingStyle w:appName="MSWord" w:lang="es-ES" w:vendorID="64" w:dllVersion="0" w:nlCheck="1" w:checkStyle="0"/>
  <w:proofState w:spelling="clean"/>
  <w:stylePaneFormatFilter w:val="F804" w:allStyles="0" w:customStyles="0" w:latentStyles="1" w:stylesInUse="0" w:headingStyles="0" w:numberingStyles="0" w:tableStyles="0" w:directFormattingOnRuns="0" w:directFormattingOnParagraphs="0" w:directFormattingOnNumbering="0" w:directFormattingOnTables="1" w:clearFormatting="1" w:top3HeadingStyles="1" w:visibleStyles="1" w:alternateStyleNames="1"/>
  <w:stylePaneSortMethod w:val="0000"/>
  <w:doNotTrackFormatting/>
  <w:defaultTabStop w:val="680"/>
  <w:hyphenationZone w:val="425"/>
  <w:noPunctuationKerning/>
  <w:characterSpacingControl w:val="doNotCompress"/>
  <w:hdrShapeDefaults>
    <o:shapedefaults v:ext="edit" spidmax="4097"/>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TMS_BusinessUnitID" w:val="LinklatersSLP"/>
    <w:docVar w:name="TMS_CultureID" w:val="English-UK"/>
    <w:docVar w:name="TMS_OfficeID" w:val="Madrid"/>
    <w:docVar w:name="TMS_Template_ID" w:val="0"/>
  </w:docVars>
  <w:rsids>
    <w:rsidRoot w:val="00BA14B6"/>
    <w:rsid w:val="000014F9"/>
    <w:rsid w:val="00003A07"/>
    <w:rsid w:val="00004CC2"/>
    <w:rsid w:val="00006062"/>
    <w:rsid w:val="00006F93"/>
    <w:rsid w:val="000079AF"/>
    <w:rsid w:val="00007AAB"/>
    <w:rsid w:val="000102BD"/>
    <w:rsid w:val="00012807"/>
    <w:rsid w:val="00015230"/>
    <w:rsid w:val="000153F0"/>
    <w:rsid w:val="00015D3B"/>
    <w:rsid w:val="000203DA"/>
    <w:rsid w:val="00021186"/>
    <w:rsid w:val="00022235"/>
    <w:rsid w:val="000235EF"/>
    <w:rsid w:val="000236C2"/>
    <w:rsid w:val="00026A00"/>
    <w:rsid w:val="00033A20"/>
    <w:rsid w:val="00034925"/>
    <w:rsid w:val="00040CAA"/>
    <w:rsid w:val="00050E42"/>
    <w:rsid w:val="0005125A"/>
    <w:rsid w:val="00052F34"/>
    <w:rsid w:val="00053619"/>
    <w:rsid w:val="00061496"/>
    <w:rsid w:val="00063153"/>
    <w:rsid w:val="00067975"/>
    <w:rsid w:val="00071422"/>
    <w:rsid w:val="000734BC"/>
    <w:rsid w:val="00073B84"/>
    <w:rsid w:val="00074212"/>
    <w:rsid w:val="000759F6"/>
    <w:rsid w:val="00081CA3"/>
    <w:rsid w:val="00082358"/>
    <w:rsid w:val="000830B0"/>
    <w:rsid w:val="000842B0"/>
    <w:rsid w:val="000853E6"/>
    <w:rsid w:val="00087DA3"/>
    <w:rsid w:val="00090B7E"/>
    <w:rsid w:val="00090EEB"/>
    <w:rsid w:val="000931B2"/>
    <w:rsid w:val="0009557D"/>
    <w:rsid w:val="0009597B"/>
    <w:rsid w:val="00096184"/>
    <w:rsid w:val="00097071"/>
    <w:rsid w:val="000A2CFC"/>
    <w:rsid w:val="000A701B"/>
    <w:rsid w:val="000B4214"/>
    <w:rsid w:val="000B4395"/>
    <w:rsid w:val="000B67CB"/>
    <w:rsid w:val="000C0F9B"/>
    <w:rsid w:val="000C176B"/>
    <w:rsid w:val="000C17D7"/>
    <w:rsid w:val="000C586C"/>
    <w:rsid w:val="000D00CE"/>
    <w:rsid w:val="000D0CF2"/>
    <w:rsid w:val="000D2647"/>
    <w:rsid w:val="000D42EC"/>
    <w:rsid w:val="000D43DA"/>
    <w:rsid w:val="000D5311"/>
    <w:rsid w:val="000E6686"/>
    <w:rsid w:val="000E6C28"/>
    <w:rsid w:val="000E6F20"/>
    <w:rsid w:val="000E71B7"/>
    <w:rsid w:val="000F0FC1"/>
    <w:rsid w:val="000F266A"/>
    <w:rsid w:val="000F28EE"/>
    <w:rsid w:val="000F4A94"/>
    <w:rsid w:val="000F7D98"/>
    <w:rsid w:val="00102C4C"/>
    <w:rsid w:val="00104A6A"/>
    <w:rsid w:val="00106F05"/>
    <w:rsid w:val="00110394"/>
    <w:rsid w:val="0011055D"/>
    <w:rsid w:val="00110DE7"/>
    <w:rsid w:val="00112974"/>
    <w:rsid w:val="00113EF1"/>
    <w:rsid w:val="00113FB8"/>
    <w:rsid w:val="00115418"/>
    <w:rsid w:val="00121E21"/>
    <w:rsid w:val="00130667"/>
    <w:rsid w:val="00131537"/>
    <w:rsid w:val="00133276"/>
    <w:rsid w:val="00133B1D"/>
    <w:rsid w:val="00134B3B"/>
    <w:rsid w:val="00137387"/>
    <w:rsid w:val="00140696"/>
    <w:rsid w:val="0014232F"/>
    <w:rsid w:val="001427A8"/>
    <w:rsid w:val="00143916"/>
    <w:rsid w:val="00146367"/>
    <w:rsid w:val="00150890"/>
    <w:rsid w:val="00152BE7"/>
    <w:rsid w:val="0015611F"/>
    <w:rsid w:val="001658A6"/>
    <w:rsid w:val="001723E6"/>
    <w:rsid w:val="0017525C"/>
    <w:rsid w:val="001804E4"/>
    <w:rsid w:val="00181184"/>
    <w:rsid w:val="00182C66"/>
    <w:rsid w:val="001834D4"/>
    <w:rsid w:val="00192F46"/>
    <w:rsid w:val="0019321E"/>
    <w:rsid w:val="001951FA"/>
    <w:rsid w:val="00195EA8"/>
    <w:rsid w:val="00195EFD"/>
    <w:rsid w:val="001965A1"/>
    <w:rsid w:val="001A0581"/>
    <w:rsid w:val="001A095D"/>
    <w:rsid w:val="001A46AA"/>
    <w:rsid w:val="001A48B2"/>
    <w:rsid w:val="001A5F8E"/>
    <w:rsid w:val="001A6E23"/>
    <w:rsid w:val="001A73B2"/>
    <w:rsid w:val="001A760B"/>
    <w:rsid w:val="001B0FC5"/>
    <w:rsid w:val="001B0FD0"/>
    <w:rsid w:val="001B1653"/>
    <w:rsid w:val="001B178A"/>
    <w:rsid w:val="001B18BC"/>
    <w:rsid w:val="001B200B"/>
    <w:rsid w:val="001B255B"/>
    <w:rsid w:val="001B2790"/>
    <w:rsid w:val="001B2CDB"/>
    <w:rsid w:val="001B4E99"/>
    <w:rsid w:val="001B524C"/>
    <w:rsid w:val="001B64DF"/>
    <w:rsid w:val="001B6CF3"/>
    <w:rsid w:val="001C283F"/>
    <w:rsid w:val="001C3D3E"/>
    <w:rsid w:val="001C408F"/>
    <w:rsid w:val="001C7403"/>
    <w:rsid w:val="001C7CE1"/>
    <w:rsid w:val="001D064B"/>
    <w:rsid w:val="001D1020"/>
    <w:rsid w:val="001D1702"/>
    <w:rsid w:val="001D51E4"/>
    <w:rsid w:val="001D6062"/>
    <w:rsid w:val="001E4DAC"/>
    <w:rsid w:val="001E53DD"/>
    <w:rsid w:val="001E6836"/>
    <w:rsid w:val="001F61DF"/>
    <w:rsid w:val="001F72C5"/>
    <w:rsid w:val="0020694B"/>
    <w:rsid w:val="00210948"/>
    <w:rsid w:val="00210F9E"/>
    <w:rsid w:val="00211DED"/>
    <w:rsid w:val="00213257"/>
    <w:rsid w:val="002135EB"/>
    <w:rsid w:val="00213908"/>
    <w:rsid w:val="00215F3F"/>
    <w:rsid w:val="00216A2A"/>
    <w:rsid w:val="00217D61"/>
    <w:rsid w:val="0022411E"/>
    <w:rsid w:val="0022497C"/>
    <w:rsid w:val="002325EF"/>
    <w:rsid w:val="00233E5E"/>
    <w:rsid w:val="00234185"/>
    <w:rsid w:val="002356BE"/>
    <w:rsid w:val="00240AAA"/>
    <w:rsid w:val="00240DCC"/>
    <w:rsid w:val="00241B8C"/>
    <w:rsid w:val="00247F62"/>
    <w:rsid w:val="00250444"/>
    <w:rsid w:val="00253D8A"/>
    <w:rsid w:val="00253DA3"/>
    <w:rsid w:val="0025760B"/>
    <w:rsid w:val="00261DD7"/>
    <w:rsid w:val="00261DF0"/>
    <w:rsid w:val="002671F6"/>
    <w:rsid w:val="0027014D"/>
    <w:rsid w:val="0027183A"/>
    <w:rsid w:val="00272C03"/>
    <w:rsid w:val="00273505"/>
    <w:rsid w:val="00273DA0"/>
    <w:rsid w:val="00276FF0"/>
    <w:rsid w:val="00282D1B"/>
    <w:rsid w:val="00285443"/>
    <w:rsid w:val="002906D7"/>
    <w:rsid w:val="00293C08"/>
    <w:rsid w:val="002952B3"/>
    <w:rsid w:val="00296248"/>
    <w:rsid w:val="002A3304"/>
    <w:rsid w:val="002A4A4B"/>
    <w:rsid w:val="002A574B"/>
    <w:rsid w:val="002A5E73"/>
    <w:rsid w:val="002B12C0"/>
    <w:rsid w:val="002B45B9"/>
    <w:rsid w:val="002B5E70"/>
    <w:rsid w:val="002B6FD3"/>
    <w:rsid w:val="002C1D5B"/>
    <w:rsid w:val="002C32BE"/>
    <w:rsid w:val="002C6E7B"/>
    <w:rsid w:val="002D1DAD"/>
    <w:rsid w:val="002D3BE7"/>
    <w:rsid w:val="002D477C"/>
    <w:rsid w:val="002E1DA0"/>
    <w:rsid w:val="002E2E27"/>
    <w:rsid w:val="002E53BB"/>
    <w:rsid w:val="002E5850"/>
    <w:rsid w:val="002F1D8B"/>
    <w:rsid w:val="002F4267"/>
    <w:rsid w:val="00305D90"/>
    <w:rsid w:val="00306591"/>
    <w:rsid w:val="0031059C"/>
    <w:rsid w:val="003138B0"/>
    <w:rsid w:val="00314FF0"/>
    <w:rsid w:val="00315420"/>
    <w:rsid w:val="00323D85"/>
    <w:rsid w:val="003256DA"/>
    <w:rsid w:val="00330771"/>
    <w:rsid w:val="00332683"/>
    <w:rsid w:val="00341265"/>
    <w:rsid w:val="003421C6"/>
    <w:rsid w:val="00345A4A"/>
    <w:rsid w:val="00351AA1"/>
    <w:rsid w:val="003539FF"/>
    <w:rsid w:val="00353BFE"/>
    <w:rsid w:val="00355BDE"/>
    <w:rsid w:val="0035636C"/>
    <w:rsid w:val="00357A96"/>
    <w:rsid w:val="00357EE8"/>
    <w:rsid w:val="00360915"/>
    <w:rsid w:val="00362B05"/>
    <w:rsid w:val="00366312"/>
    <w:rsid w:val="0037114C"/>
    <w:rsid w:val="00371F17"/>
    <w:rsid w:val="003731B7"/>
    <w:rsid w:val="00380558"/>
    <w:rsid w:val="003817F1"/>
    <w:rsid w:val="00382BEC"/>
    <w:rsid w:val="00383147"/>
    <w:rsid w:val="003863FD"/>
    <w:rsid w:val="0038656E"/>
    <w:rsid w:val="00386975"/>
    <w:rsid w:val="003929BB"/>
    <w:rsid w:val="00395248"/>
    <w:rsid w:val="00397CBF"/>
    <w:rsid w:val="003B098D"/>
    <w:rsid w:val="003B1046"/>
    <w:rsid w:val="003B2185"/>
    <w:rsid w:val="003B7285"/>
    <w:rsid w:val="003B745C"/>
    <w:rsid w:val="003C0A67"/>
    <w:rsid w:val="003C22C9"/>
    <w:rsid w:val="003C379D"/>
    <w:rsid w:val="003C400D"/>
    <w:rsid w:val="003C4315"/>
    <w:rsid w:val="003C5624"/>
    <w:rsid w:val="003C5911"/>
    <w:rsid w:val="003C73D0"/>
    <w:rsid w:val="003D0802"/>
    <w:rsid w:val="003D5992"/>
    <w:rsid w:val="003D6A51"/>
    <w:rsid w:val="003D7506"/>
    <w:rsid w:val="003E031C"/>
    <w:rsid w:val="003E0E15"/>
    <w:rsid w:val="003E67D0"/>
    <w:rsid w:val="003E6DAF"/>
    <w:rsid w:val="003E7E2E"/>
    <w:rsid w:val="003F1D7A"/>
    <w:rsid w:val="003F2EE7"/>
    <w:rsid w:val="003F3F01"/>
    <w:rsid w:val="003F5078"/>
    <w:rsid w:val="003F5EDE"/>
    <w:rsid w:val="00402565"/>
    <w:rsid w:val="00405378"/>
    <w:rsid w:val="00411838"/>
    <w:rsid w:val="0041292C"/>
    <w:rsid w:val="0041619D"/>
    <w:rsid w:val="004204A0"/>
    <w:rsid w:val="00421711"/>
    <w:rsid w:val="00422933"/>
    <w:rsid w:val="004308CE"/>
    <w:rsid w:val="00434624"/>
    <w:rsid w:val="00434F8E"/>
    <w:rsid w:val="0043559A"/>
    <w:rsid w:val="0043799A"/>
    <w:rsid w:val="00440282"/>
    <w:rsid w:val="004402CB"/>
    <w:rsid w:val="00442FC5"/>
    <w:rsid w:val="004435BD"/>
    <w:rsid w:val="00450D1C"/>
    <w:rsid w:val="0045395E"/>
    <w:rsid w:val="00453964"/>
    <w:rsid w:val="00460E12"/>
    <w:rsid w:val="004622DC"/>
    <w:rsid w:val="00474B98"/>
    <w:rsid w:val="00474CFA"/>
    <w:rsid w:val="00482CE3"/>
    <w:rsid w:val="00485864"/>
    <w:rsid w:val="0048726D"/>
    <w:rsid w:val="00490F2A"/>
    <w:rsid w:val="004959D1"/>
    <w:rsid w:val="00496C62"/>
    <w:rsid w:val="004A0760"/>
    <w:rsid w:val="004A0CF3"/>
    <w:rsid w:val="004A12A7"/>
    <w:rsid w:val="004A680F"/>
    <w:rsid w:val="004B2DFA"/>
    <w:rsid w:val="004B352B"/>
    <w:rsid w:val="004B4228"/>
    <w:rsid w:val="004B6D8F"/>
    <w:rsid w:val="004B700C"/>
    <w:rsid w:val="004C1805"/>
    <w:rsid w:val="004C3901"/>
    <w:rsid w:val="004C6529"/>
    <w:rsid w:val="004C6ECD"/>
    <w:rsid w:val="004D01A0"/>
    <w:rsid w:val="004D0295"/>
    <w:rsid w:val="004D02C4"/>
    <w:rsid w:val="004D3A7A"/>
    <w:rsid w:val="004D4E05"/>
    <w:rsid w:val="004D5AA9"/>
    <w:rsid w:val="004D732D"/>
    <w:rsid w:val="004E0D5F"/>
    <w:rsid w:val="004E3B7F"/>
    <w:rsid w:val="004E4DD1"/>
    <w:rsid w:val="004E538C"/>
    <w:rsid w:val="004E6F0E"/>
    <w:rsid w:val="004E6F58"/>
    <w:rsid w:val="004F002F"/>
    <w:rsid w:val="004F02F6"/>
    <w:rsid w:val="004F666C"/>
    <w:rsid w:val="004F6997"/>
    <w:rsid w:val="00500951"/>
    <w:rsid w:val="005015E9"/>
    <w:rsid w:val="0050179D"/>
    <w:rsid w:val="005026C2"/>
    <w:rsid w:val="0050468F"/>
    <w:rsid w:val="00505A25"/>
    <w:rsid w:val="005075A4"/>
    <w:rsid w:val="00507C50"/>
    <w:rsid w:val="00510550"/>
    <w:rsid w:val="00511180"/>
    <w:rsid w:val="00514747"/>
    <w:rsid w:val="0051530E"/>
    <w:rsid w:val="00522F6B"/>
    <w:rsid w:val="00523C73"/>
    <w:rsid w:val="00524A7D"/>
    <w:rsid w:val="005260BE"/>
    <w:rsid w:val="005274DE"/>
    <w:rsid w:val="005278B5"/>
    <w:rsid w:val="005309AE"/>
    <w:rsid w:val="005339CD"/>
    <w:rsid w:val="005355FE"/>
    <w:rsid w:val="00543720"/>
    <w:rsid w:val="00545C31"/>
    <w:rsid w:val="00555A35"/>
    <w:rsid w:val="00560206"/>
    <w:rsid w:val="00562D91"/>
    <w:rsid w:val="005646F3"/>
    <w:rsid w:val="00573426"/>
    <w:rsid w:val="00574131"/>
    <w:rsid w:val="005741A0"/>
    <w:rsid w:val="005753A2"/>
    <w:rsid w:val="00577032"/>
    <w:rsid w:val="00581584"/>
    <w:rsid w:val="005821F5"/>
    <w:rsid w:val="00584047"/>
    <w:rsid w:val="00590D96"/>
    <w:rsid w:val="00593BD5"/>
    <w:rsid w:val="00595017"/>
    <w:rsid w:val="00597412"/>
    <w:rsid w:val="005A0147"/>
    <w:rsid w:val="005A34B9"/>
    <w:rsid w:val="005A4CCB"/>
    <w:rsid w:val="005A4DF1"/>
    <w:rsid w:val="005A4ECE"/>
    <w:rsid w:val="005B136E"/>
    <w:rsid w:val="005B187A"/>
    <w:rsid w:val="005B3439"/>
    <w:rsid w:val="005B35E1"/>
    <w:rsid w:val="005B39CF"/>
    <w:rsid w:val="005B3D48"/>
    <w:rsid w:val="005B4294"/>
    <w:rsid w:val="005B49CF"/>
    <w:rsid w:val="005B6492"/>
    <w:rsid w:val="005B7049"/>
    <w:rsid w:val="005C0117"/>
    <w:rsid w:val="005C1EF9"/>
    <w:rsid w:val="005D175E"/>
    <w:rsid w:val="005D2B1C"/>
    <w:rsid w:val="005D59D1"/>
    <w:rsid w:val="005D67D0"/>
    <w:rsid w:val="005D6A31"/>
    <w:rsid w:val="005D7121"/>
    <w:rsid w:val="005E0338"/>
    <w:rsid w:val="005E07AC"/>
    <w:rsid w:val="005E1B1D"/>
    <w:rsid w:val="005E2072"/>
    <w:rsid w:val="005E3324"/>
    <w:rsid w:val="005E7267"/>
    <w:rsid w:val="005F2EEE"/>
    <w:rsid w:val="005F6A0F"/>
    <w:rsid w:val="006006D2"/>
    <w:rsid w:val="00600BE5"/>
    <w:rsid w:val="0060145E"/>
    <w:rsid w:val="006030EA"/>
    <w:rsid w:val="00604D9C"/>
    <w:rsid w:val="006052F9"/>
    <w:rsid w:val="00605DEC"/>
    <w:rsid w:val="0060637B"/>
    <w:rsid w:val="00610B72"/>
    <w:rsid w:val="00610C79"/>
    <w:rsid w:val="006147C7"/>
    <w:rsid w:val="00615E9B"/>
    <w:rsid w:val="00615FF8"/>
    <w:rsid w:val="006162C4"/>
    <w:rsid w:val="00616D18"/>
    <w:rsid w:val="006172D0"/>
    <w:rsid w:val="00623ED5"/>
    <w:rsid w:val="00624D1E"/>
    <w:rsid w:val="00631F82"/>
    <w:rsid w:val="006356E2"/>
    <w:rsid w:val="00637DFF"/>
    <w:rsid w:val="00642B39"/>
    <w:rsid w:val="00643A80"/>
    <w:rsid w:val="00643E5B"/>
    <w:rsid w:val="00650485"/>
    <w:rsid w:val="00650690"/>
    <w:rsid w:val="006519F7"/>
    <w:rsid w:val="006527F6"/>
    <w:rsid w:val="0065321C"/>
    <w:rsid w:val="0065690F"/>
    <w:rsid w:val="00663022"/>
    <w:rsid w:val="0066325D"/>
    <w:rsid w:val="0066459B"/>
    <w:rsid w:val="00665D5D"/>
    <w:rsid w:val="006677FB"/>
    <w:rsid w:val="00673268"/>
    <w:rsid w:val="006733F1"/>
    <w:rsid w:val="00674A95"/>
    <w:rsid w:val="00674B5F"/>
    <w:rsid w:val="006822AF"/>
    <w:rsid w:val="00683C8B"/>
    <w:rsid w:val="00686BB0"/>
    <w:rsid w:val="00687D21"/>
    <w:rsid w:val="00694DB1"/>
    <w:rsid w:val="00695AC0"/>
    <w:rsid w:val="006A436A"/>
    <w:rsid w:val="006B00B6"/>
    <w:rsid w:val="006B0B2C"/>
    <w:rsid w:val="006B10E5"/>
    <w:rsid w:val="006B195A"/>
    <w:rsid w:val="006B4F59"/>
    <w:rsid w:val="006B6C4E"/>
    <w:rsid w:val="006C2257"/>
    <w:rsid w:val="006C412F"/>
    <w:rsid w:val="006C5962"/>
    <w:rsid w:val="006C7C19"/>
    <w:rsid w:val="006D5891"/>
    <w:rsid w:val="006D69B4"/>
    <w:rsid w:val="006E1B56"/>
    <w:rsid w:val="006E7A0B"/>
    <w:rsid w:val="006F2104"/>
    <w:rsid w:val="006F22A9"/>
    <w:rsid w:val="006F3B9E"/>
    <w:rsid w:val="006F4FD0"/>
    <w:rsid w:val="006F716E"/>
    <w:rsid w:val="006F7B7E"/>
    <w:rsid w:val="00700BB2"/>
    <w:rsid w:val="00705541"/>
    <w:rsid w:val="00705E8F"/>
    <w:rsid w:val="007106F9"/>
    <w:rsid w:val="00711D32"/>
    <w:rsid w:val="0071231A"/>
    <w:rsid w:val="00713A13"/>
    <w:rsid w:val="00717A5B"/>
    <w:rsid w:val="00717C8B"/>
    <w:rsid w:val="0072061B"/>
    <w:rsid w:val="007211BF"/>
    <w:rsid w:val="0072156A"/>
    <w:rsid w:val="00724241"/>
    <w:rsid w:val="0072779B"/>
    <w:rsid w:val="007303F0"/>
    <w:rsid w:val="0073414F"/>
    <w:rsid w:val="00735534"/>
    <w:rsid w:val="0073690E"/>
    <w:rsid w:val="007443C6"/>
    <w:rsid w:val="00744DA7"/>
    <w:rsid w:val="00744EFB"/>
    <w:rsid w:val="00750BE5"/>
    <w:rsid w:val="007513DF"/>
    <w:rsid w:val="0075244B"/>
    <w:rsid w:val="0075521D"/>
    <w:rsid w:val="0075622C"/>
    <w:rsid w:val="007605A3"/>
    <w:rsid w:val="007621FE"/>
    <w:rsid w:val="00766FA7"/>
    <w:rsid w:val="0076762A"/>
    <w:rsid w:val="00770DCB"/>
    <w:rsid w:val="007724D1"/>
    <w:rsid w:val="0077375E"/>
    <w:rsid w:val="00773CCF"/>
    <w:rsid w:val="007743A2"/>
    <w:rsid w:val="00774471"/>
    <w:rsid w:val="007765F9"/>
    <w:rsid w:val="007822DC"/>
    <w:rsid w:val="007823AE"/>
    <w:rsid w:val="00783B65"/>
    <w:rsid w:val="00785DAE"/>
    <w:rsid w:val="007908A1"/>
    <w:rsid w:val="00794085"/>
    <w:rsid w:val="00796003"/>
    <w:rsid w:val="00796846"/>
    <w:rsid w:val="007975BB"/>
    <w:rsid w:val="007A0AB3"/>
    <w:rsid w:val="007A2284"/>
    <w:rsid w:val="007A3C7C"/>
    <w:rsid w:val="007A409E"/>
    <w:rsid w:val="007A55B6"/>
    <w:rsid w:val="007A6D55"/>
    <w:rsid w:val="007B190E"/>
    <w:rsid w:val="007B1BEB"/>
    <w:rsid w:val="007B56AF"/>
    <w:rsid w:val="007B5EF5"/>
    <w:rsid w:val="007C21DD"/>
    <w:rsid w:val="007C2245"/>
    <w:rsid w:val="007C2A67"/>
    <w:rsid w:val="007D267D"/>
    <w:rsid w:val="007D390B"/>
    <w:rsid w:val="007D4B94"/>
    <w:rsid w:val="007D5AAA"/>
    <w:rsid w:val="007D6339"/>
    <w:rsid w:val="007D6DCE"/>
    <w:rsid w:val="007E1BC9"/>
    <w:rsid w:val="007E1C10"/>
    <w:rsid w:val="007E2471"/>
    <w:rsid w:val="007E2FC6"/>
    <w:rsid w:val="007E4F11"/>
    <w:rsid w:val="007E6B7A"/>
    <w:rsid w:val="007F407C"/>
    <w:rsid w:val="007F4F78"/>
    <w:rsid w:val="008003EA"/>
    <w:rsid w:val="008019A6"/>
    <w:rsid w:val="00801B65"/>
    <w:rsid w:val="00804290"/>
    <w:rsid w:val="0080429D"/>
    <w:rsid w:val="00805AD6"/>
    <w:rsid w:val="00806A5C"/>
    <w:rsid w:val="008108C0"/>
    <w:rsid w:val="008147A5"/>
    <w:rsid w:val="0082205B"/>
    <w:rsid w:val="00824A65"/>
    <w:rsid w:val="008270F5"/>
    <w:rsid w:val="008301A4"/>
    <w:rsid w:val="00831EC2"/>
    <w:rsid w:val="008324C4"/>
    <w:rsid w:val="00833DA0"/>
    <w:rsid w:val="008362CD"/>
    <w:rsid w:val="00836AFB"/>
    <w:rsid w:val="00837AC0"/>
    <w:rsid w:val="00840032"/>
    <w:rsid w:val="008414F3"/>
    <w:rsid w:val="00841C62"/>
    <w:rsid w:val="00843527"/>
    <w:rsid w:val="0084783B"/>
    <w:rsid w:val="00847EE7"/>
    <w:rsid w:val="0085359B"/>
    <w:rsid w:val="008549D7"/>
    <w:rsid w:val="008553B0"/>
    <w:rsid w:val="008573D8"/>
    <w:rsid w:val="008601D4"/>
    <w:rsid w:val="00863758"/>
    <w:rsid w:val="008654F0"/>
    <w:rsid w:val="00866554"/>
    <w:rsid w:val="00866FED"/>
    <w:rsid w:val="00873C02"/>
    <w:rsid w:val="00873C1F"/>
    <w:rsid w:val="00875B8A"/>
    <w:rsid w:val="008803AA"/>
    <w:rsid w:val="008814A5"/>
    <w:rsid w:val="00887FCD"/>
    <w:rsid w:val="008920E8"/>
    <w:rsid w:val="0089282F"/>
    <w:rsid w:val="00893014"/>
    <w:rsid w:val="008937CD"/>
    <w:rsid w:val="00893825"/>
    <w:rsid w:val="008952AE"/>
    <w:rsid w:val="00895FB0"/>
    <w:rsid w:val="00896323"/>
    <w:rsid w:val="008A20B7"/>
    <w:rsid w:val="008A40EE"/>
    <w:rsid w:val="008A5331"/>
    <w:rsid w:val="008A659C"/>
    <w:rsid w:val="008B0135"/>
    <w:rsid w:val="008B03C3"/>
    <w:rsid w:val="008B2D5D"/>
    <w:rsid w:val="008B48B0"/>
    <w:rsid w:val="008C1441"/>
    <w:rsid w:val="008C38F7"/>
    <w:rsid w:val="008C65A7"/>
    <w:rsid w:val="008C75EB"/>
    <w:rsid w:val="008D12D8"/>
    <w:rsid w:val="008E05A4"/>
    <w:rsid w:val="008E0DC6"/>
    <w:rsid w:val="008E35F9"/>
    <w:rsid w:val="008E7D26"/>
    <w:rsid w:val="008F0218"/>
    <w:rsid w:val="008F0519"/>
    <w:rsid w:val="00906C9A"/>
    <w:rsid w:val="00911F13"/>
    <w:rsid w:val="009131F8"/>
    <w:rsid w:val="009144C4"/>
    <w:rsid w:val="00916460"/>
    <w:rsid w:val="00922915"/>
    <w:rsid w:val="009242C0"/>
    <w:rsid w:val="00924C56"/>
    <w:rsid w:val="00925515"/>
    <w:rsid w:val="00927BEE"/>
    <w:rsid w:val="00927EAE"/>
    <w:rsid w:val="009308AE"/>
    <w:rsid w:val="00932DA7"/>
    <w:rsid w:val="009342FE"/>
    <w:rsid w:val="00935788"/>
    <w:rsid w:val="00940360"/>
    <w:rsid w:val="00940423"/>
    <w:rsid w:val="00943EFD"/>
    <w:rsid w:val="00944386"/>
    <w:rsid w:val="009461D7"/>
    <w:rsid w:val="0095173F"/>
    <w:rsid w:val="00951EB3"/>
    <w:rsid w:val="00952213"/>
    <w:rsid w:val="00952C38"/>
    <w:rsid w:val="00954673"/>
    <w:rsid w:val="00957266"/>
    <w:rsid w:val="00961F5B"/>
    <w:rsid w:val="009652B9"/>
    <w:rsid w:val="009677F7"/>
    <w:rsid w:val="00967A77"/>
    <w:rsid w:val="00970277"/>
    <w:rsid w:val="0097052A"/>
    <w:rsid w:val="0097061E"/>
    <w:rsid w:val="009749A4"/>
    <w:rsid w:val="009752E9"/>
    <w:rsid w:val="00975DDD"/>
    <w:rsid w:val="00977238"/>
    <w:rsid w:val="0098104D"/>
    <w:rsid w:val="00981526"/>
    <w:rsid w:val="00982120"/>
    <w:rsid w:val="00986F69"/>
    <w:rsid w:val="00987696"/>
    <w:rsid w:val="00987CA0"/>
    <w:rsid w:val="00991D2D"/>
    <w:rsid w:val="00991E14"/>
    <w:rsid w:val="0099299B"/>
    <w:rsid w:val="009947A6"/>
    <w:rsid w:val="0099700B"/>
    <w:rsid w:val="009A0249"/>
    <w:rsid w:val="009A4647"/>
    <w:rsid w:val="009A4CEF"/>
    <w:rsid w:val="009A53BB"/>
    <w:rsid w:val="009A5685"/>
    <w:rsid w:val="009A6012"/>
    <w:rsid w:val="009A637A"/>
    <w:rsid w:val="009B0D34"/>
    <w:rsid w:val="009B4D26"/>
    <w:rsid w:val="009B581F"/>
    <w:rsid w:val="009C4413"/>
    <w:rsid w:val="009D14D7"/>
    <w:rsid w:val="009D3554"/>
    <w:rsid w:val="009D3565"/>
    <w:rsid w:val="009D7CCF"/>
    <w:rsid w:val="009E01AC"/>
    <w:rsid w:val="009E045D"/>
    <w:rsid w:val="009E42DA"/>
    <w:rsid w:val="009F01F5"/>
    <w:rsid w:val="009F3783"/>
    <w:rsid w:val="009F431A"/>
    <w:rsid w:val="009F443B"/>
    <w:rsid w:val="009F4D84"/>
    <w:rsid w:val="009F52C8"/>
    <w:rsid w:val="009F6F03"/>
    <w:rsid w:val="00A00987"/>
    <w:rsid w:val="00A04FBD"/>
    <w:rsid w:val="00A05772"/>
    <w:rsid w:val="00A065B9"/>
    <w:rsid w:val="00A121B3"/>
    <w:rsid w:val="00A122EB"/>
    <w:rsid w:val="00A141AE"/>
    <w:rsid w:val="00A2217D"/>
    <w:rsid w:val="00A22B83"/>
    <w:rsid w:val="00A240FD"/>
    <w:rsid w:val="00A24FC2"/>
    <w:rsid w:val="00A3111C"/>
    <w:rsid w:val="00A3283B"/>
    <w:rsid w:val="00A34DB7"/>
    <w:rsid w:val="00A36F6F"/>
    <w:rsid w:val="00A407A1"/>
    <w:rsid w:val="00A43FCD"/>
    <w:rsid w:val="00A50E31"/>
    <w:rsid w:val="00A519C9"/>
    <w:rsid w:val="00A51E41"/>
    <w:rsid w:val="00A5696A"/>
    <w:rsid w:val="00A570F3"/>
    <w:rsid w:val="00A573FA"/>
    <w:rsid w:val="00A600EC"/>
    <w:rsid w:val="00A60E4F"/>
    <w:rsid w:val="00A616D6"/>
    <w:rsid w:val="00A655DC"/>
    <w:rsid w:val="00A71AAB"/>
    <w:rsid w:val="00A727D8"/>
    <w:rsid w:val="00A7347F"/>
    <w:rsid w:val="00A75440"/>
    <w:rsid w:val="00A77275"/>
    <w:rsid w:val="00A779A1"/>
    <w:rsid w:val="00A828DD"/>
    <w:rsid w:val="00A82967"/>
    <w:rsid w:val="00A83811"/>
    <w:rsid w:val="00A86541"/>
    <w:rsid w:val="00A875B4"/>
    <w:rsid w:val="00A87B86"/>
    <w:rsid w:val="00A87DD9"/>
    <w:rsid w:val="00A90AC8"/>
    <w:rsid w:val="00A91B12"/>
    <w:rsid w:val="00A93AC5"/>
    <w:rsid w:val="00A956A0"/>
    <w:rsid w:val="00A976E6"/>
    <w:rsid w:val="00AA0283"/>
    <w:rsid w:val="00AA0907"/>
    <w:rsid w:val="00AA2865"/>
    <w:rsid w:val="00AA2EFC"/>
    <w:rsid w:val="00AA328D"/>
    <w:rsid w:val="00AA3E1E"/>
    <w:rsid w:val="00AA4E1F"/>
    <w:rsid w:val="00AB04C5"/>
    <w:rsid w:val="00AB42AD"/>
    <w:rsid w:val="00AB5030"/>
    <w:rsid w:val="00AB705E"/>
    <w:rsid w:val="00AB7276"/>
    <w:rsid w:val="00AB78E3"/>
    <w:rsid w:val="00AB7C7E"/>
    <w:rsid w:val="00AC01BC"/>
    <w:rsid w:val="00AC3424"/>
    <w:rsid w:val="00AC37F8"/>
    <w:rsid w:val="00AC7257"/>
    <w:rsid w:val="00AC74B1"/>
    <w:rsid w:val="00AD16DE"/>
    <w:rsid w:val="00AD1B50"/>
    <w:rsid w:val="00AD59A8"/>
    <w:rsid w:val="00AD763B"/>
    <w:rsid w:val="00AE06D5"/>
    <w:rsid w:val="00AE487F"/>
    <w:rsid w:val="00AE5184"/>
    <w:rsid w:val="00AE5F08"/>
    <w:rsid w:val="00AE5FAD"/>
    <w:rsid w:val="00AE6FB5"/>
    <w:rsid w:val="00AF2317"/>
    <w:rsid w:val="00AF30A3"/>
    <w:rsid w:val="00AF3980"/>
    <w:rsid w:val="00AF41B6"/>
    <w:rsid w:val="00AF64CE"/>
    <w:rsid w:val="00B01F6C"/>
    <w:rsid w:val="00B045C9"/>
    <w:rsid w:val="00B06369"/>
    <w:rsid w:val="00B1364F"/>
    <w:rsid w:val="00B14703"/>
    <w:rsid w:val="00B14945"/>
    <w:rsid w:val="00B163D1"/>
    <w:rsid w:val="00B16EFD"/>
    <w:rsid w:val="00B20C7C"/>
    <w:rsid w:val="00B218E9"/>
    <w:rsid w:val="00B2194F"/>
    <w:rsid w:val="00B234A6"/>
    <w:rsid w:val="00B240BB"/>
    <w:rsid w:val="00B3097E"/>
    <w:rsid w:val="00B315B7"/>
    <w:rsid w:val="00B3340F"/>
    <w:rsid w:val="00B33848"/>
    <w:rsid w:val="00B33B60"/>
    <w:rsid w:val="00B371C4"/>
    <w:rsid w:val="00B40E6B"/>
    <w:rsid w:val="00B41DAE"/>
    <w:rsid w:val="00B43B95"/>
    <w:rsid w:val="00B45B06"/>
    <w:rsid w:val="00B46A1F"/>
    <w:rsid w:val="00B51092"/>
    <w:rsid w:val="00B51A96"/>
    <w:rsid w:val="00B51CDF"/>
    <w:rsid w:val="00B525D4"/>
    <w:rsid w:val="00B5629B"/>
    <w:rsid w:val="00B61EFC"/>
    <w:rsid w:val="00B632A5"/>
    <w:rsid w:val="00B74F09"/>
    <w:rsid w:val="00B77312"/>
    <w:rsid w:val="00B77CD4"/>
    <w:rsid w:val="00B77F04"/>
    <w:rsid w:val="00B818AA"/>
    <w:rsid w:val="00B81952"/>
    <w:rsid w:val="00B826F0"/>
    <w:rsid w:val="00B84C8D"/>
    <w:rsid w:val="00B84C8F"/>
    <w:rsid w:val="00B87C40"/>
    <w:rsid w:val="00B87EA1"/>
    <w:rsid w:val="00B90718"/>
    <w:rsid w:val="00B90CF7"/>
    <w:rsid w:val="00B90F06"/>
    <w:rsid w:val="00B93890"/>
    <w:rsid w:val="00B95AD2"/>
    <w:rsid w:val="00B9620C"/>
    <w:rsid w:val="00BA14B6"/>
    <w:rsid w:val="00BA22FD"/>
    <w:rsid w:val="00BA44F0"/>
    <w:rsid w:val="00BB493B"/>
    <w:rsid w:val="00BB5225"/>
    <w:rsid w:val="00BB5EB7"/>
    <w:rsid w:val="00BB6C06"/>
    <w:rsid w:val="00BC0F12"/>
    <w:rsid w:val="00BC341D"/>
    <w:rsid w:val="00BC3524"/>
    <w:rsid w:val="00BC4C4C"/>
    <w:rsid w:val="00BC79C6"/>
    <w:rsid w:val="00BD2F00"/>
    <w:rsid w:val="00BD3636"/>
    <w:rsid w:val="00BD3CA7"/>
    <w:rsid w:val="00BD594A"/>
    <w:rsid w:val="00BD6F7A"/>
    <w:rsid w:val="00BD7138"/>
    <w:rsid w:val="00BE153B"/>
    <w:rsid w:val="00BE5FEB"/>
    <w:rsid w:val="00BF0B6A"/>
    <w:rsid w:val="00BF18C4"/>
    <w:rsid w:val="00BF25BE"/>
    <w:rsid w:val="00BF6739"/>
    <w:rsid w:val="00BF689F"/>
    <w:rsid w:val="00C0013A"/>
    <w:rsid w:val="00C00FB2"/>
    <w:rsid w:val="00C011B5"/>
    <w:rsid w:val="00C017A8"/>
    <w:rsid w:val="00C0491E"/>
    <w:rsid w:val="00C06607"/>
    <w:rsid w:val="00C07AFD"/>
    <w:rsid w:val="00C07EB0"/>
    <w:rsid w:val="00C105A6"/>
    <w:rsid w:val="00C10BB6"/>
    <w:rsid w:val="00C13A57"/>
    <w:rsid w:val="00C162D8"/>
    <w:rsid w:val="00C17830"/>
    <w:rsid w:val="00C219C3"/>
    <w:rsid w:val="00C21EA4"/>
    <w:rsid w:val="00C21ED9"/>
    <w:rsid w:val="00C220BC"/>
    <w:rsid w:val="00C252D9"/>
    <w:rsid w:val="00C27663"/>
    <w:rsid w:val="00C27EF9"/>
    <w:rsid w:val="00C335D4"/>
    <w:rsid w:val="00C33CD6"/>
    <w:rsid w:val="00C35AE5"/>
    <w:rsid w:val="00C35CF1"/>
    <w:rsid w:val="00C3669B"/>
    <w:rsid w:val="00C37DBF"/>
    <w:rsid w:val="00C37EBD"/>
    <w:rsid w:val="00C415C3"/>
    <w:rsid w:val="00C4206C"/>
    <w:rsid w:val="00C432E8"/>
    <w:rsid w:val="00C44379"/>
    <w:rsid w:val="00C455B5"/>
    <w:rsid w:val="00C51796"/>
    <w:rsid w:val="00C51EB0"/>
    <w:rsid w:val="00C60627"/>
    <w:rsid w:val="00C63123"/>
    <w:rsid w:val="00C6398F"/>
    <w:rsid w:val="00C71979"/>
    <w:rsid w:val="00C74550"/>
    <w:rsid w:val="00C76849"/>
    <w:rsid w:val="00C76A04"/>
    <w:rsid w:val="00C77A29"/>
    <w:rsid w:val="00C8074E"/>
    <w:rsid w:val="00C81A43"/>
    <w:rsid w:val="00C820EB"/>
    <w:rsid w:val="00C82EB5"/>
    <w:rsid w:val="00C8302F"/>
    <w:rsid w:val="00C84AD6"/>
    <w:rsid w:val="00C858DA"/>
    <w:rsid w:val="00C87DA4"/>
    <w:rsid w:val="00C97659"/>
    <w:rsid w:val="00C979E6"/>
    <w:rsid w:val="00CA6B9F"/>
    <w:rsid w:val="00CB0D8D"/>
    <w:rsid w:val="00CB1828"/>
    <w:rsid w:val="00CB2BAC"/>
    <w:rsid w:val="00CB2D7F"/>
    <w:rsid w:val="00CC2DA8"/>
    <w:rsid w:val="00CC4BD8"/>
    <w:rsid w:val="00CC601E"/>
    <w:rsid w:val="00CD1DD6"/>
    <w:rsid w:val="00CD1E07"/>
    <w:rsid w:val="00CD1EBB"/>
    <w:rsid w:val="00CD296E"/>
    <w:rsid w:val="00CD5C05"/>
    <w:rsid w:val="00CD5DEA"/>
    <w:rsid w:val="00CD5ED8"/>
    <w:rsid w:val="00CD71B5"/>
    <w:rsid w:val="00CE13A1"/>
    <w:rsid w:val="00CE3523"/>
    <w:rsid w:val="00CE38FD"/>
    <w:rsid w:val="00CE43DF"/>
    <w:rsid w:val="00CE4559"/>
    <w:rsid w:val="00CE7F5C"/>
    <w:rsid w:val="00D047CE"/>
    <w:rsid w:val="00D05BA7"/>
    <w:rsid w:val="00D070A0"/>
    <w:rsid w:val="00D07B38"/>
    <w:rsid w:val="00D13F89"/>
    <w:rsid w:val="00D15D3E"/>
    <w:rsid w:val="00D16C62"/>
    <w:rsid w:val="00D25168"/>
    <w:rsid w:val="00D3241D"/>
    <w:rsid w:val="00D3473B"/>
    <w:rsid w:val="00D41D5C"/>
    <w:rsid w:val="00D50211"/>
    <w:rsid w:val="00D502E6"/>
    <w:rsid w:val="00D5198E"/>
    <w:rsid w:val="00D54B6C"/>
    <w:rsid w:val="00D567DA"/>
    <w:rsid w:val="00D57F10"/>
    <w:rsid w:val="00D60C45"/>
    <w:rsid w:val="00D61692"/>
    <w:rsid w:val="00D6237B"/>
    <w:rsid w:val="00D62DF1"/>
    <w:rsid w:val="00D637A9"/>
    <w:rsid w:val="00D647D1"/>
    <w:rsid w:val="00D652DD"/>
    <w:rsid w:val="00D668A0"/>
    <w:rsid w:val="00D70C6E"/>
    <w:rsid w:val="00D70FDF"/>
    <w:rsid w:val="00D75C65"/>
    <w:rsid w:val="00D818EB"/>
    <w:rsid w:val="00D829B2"/>
    <w:rsid w:val="00D851F8"/>
    <w:rsid w:val="00D86005"/>
    <w:rsid w:val="00D909CF"/>
    <w:rsid w:val="00D9279C"/>
    <w:rsid w:val="00DA0242"/>
    <w:rsid w:val="00DA0C63"/>
    <w:rsid w:val="00DA60E6"/>
    <w:rsid w:val="00DA71BF"/>
    <w:rsid w:val="00DA7C14"/>
    <w:rsid w:val="00DB2E8A"/>
    <w:rsid w:val="00DB48E7"/>
    <w:rsid w:val="00DB49C5"/>
    <w:rsid w:val="00DB54F4"/>
    <w:rsid w:val="00DB73DA"/>
    <w:rsid w:val="00DC18FB"/>
    <w:rsid w:val="00DC5282"/>
    <w:rsid w:val="00DC72DE"/>
    <w:rsid w:val="00DD31F5"/>
    <w:rsid w:val="00DD4698"/>
    <w:rsid w:val="00DD4912"/>
    <w:rsid w:val="00DD54B6"/>
    <w:rsid w:val="00DD56AD"/>
    <w:rsid w:val="00DD5F98"/>
    <w:rsid w:val="00DE1A57"/>
    <w:rsid w:val="00DE2FAC"/>
    <w:rsid w:val="00DE3CEF"/>
    <w:rsid w:val="00DE5CC8"/>
    <w:rsid w:val="00DE5F7B"/>
    <w:rsid w:val="00DE6134"/>
    <w:rsid w:val="00DF3BFE"/>
    <w:rsid w:val="00DF4F41"/>
    <w:rsid w:val="00E0377F"/>
    <w:rsid w:val="00E047FC"/>
    <w:rsid w:val="00E05657"/>
    <w:rsid w:val="00E05A72"/>
    <w:rsid w:val="00E10902"/>
    <w:rsid w:val="00E118C5"/>
    <w:rsid w:val="00E1776C"/>
    <w:rsid w:val="00E221AD"/>
    <w:rsid w:val="00E22B72"/>
    <w:rsid w:val="00E23E4A"/>
    <w:rsid w:val="00E248BF"/>
    <w:rsid w:val="00E24B1C"/>
    <w:rsid w:val="00E2515F"/>
    <w:rsid w:val="00E25E50"/>
    <w:rsid w:val="00E2644D"/>
    <w:rsid w:val="00E2674C"/>
    <w:rsid w:val="00E27FAF"/>
    <w:rsid w:val="00E31E06"/>
    <w:rsid w:val="00E339F7"/>
    <w:rsid w:val="00E34455"/>
    <w:rsid w:val="00E376B1"/>
    <w:rsid w:val="00E4077D"/>
    <w:rsid w:val="00E41987"/>
    <w:rsid w:val="00E420F9"/>
    <w:rsid w:val="00E444CB"/>
    <w:rsid w:val="00E47DF5"/>
    <w:rsid w:val="00E5155C"/>
    <w:rsid w:val="00E53A5B"/>
    <w:rsid w:val="00E5486C"/>
    <w:rsid w:val="00E618AE"/>
    <w:rsid w:val="00E62972"/>
    <w:rsid w:val="00E63B1A"/>
    <w:rsid w:val="00E65C36"/>
    <w:rsid w:val="00E70007"/>
    <w:rsid w:val="00E74D37"/>
    <w:rsid w:val="00E75E9F"/>
    <w:rsid w:val="00E76C9F"/>
    <w:rsid w:val="00E8083A"/>
    <w:rsid w:val="00E814A7"/>
    <w:rsid w:val="00E84FC8"/>
    <w:rsid w:val="00E86512"/>
    <w:rsid w:val="00E86B96"/>
    <w:rsid w:val="00E949A2"/>
    <w:rsid w:val="00EA08C7"/>
    <w:rsid w:val="00EA121F"/>
    <w:rsid w:val="00EA1326"/>
    <w:rsid w:val="00EA6FCC"/>
    <w:rsid w:val="00EB114E"/>
    <w:rsid w:val="00EB2103"/>
    <w:rsid w:val="00EB4FA5"/>
    <w:rsid w:val="00EB672E"/>
    <w:rsid w:val="00EC1F06"/>
    <w:rsid w:val="00EC200E"/>
    <w:rsid w:val="00EC6033"/>
    <w:rsid w:val="00ED045D"/>
    <w:rsid w:val="00ED32A6"/>
    <w:rsid w:val="00ED38BC"/>
    <w:rsid w:val="00ED4A74"/>
    <w:rsid w:val="00ED518E"/>
    <w:rsid w:val="00ED5AEC"/>
    <w:rsid w:val="00ED7E64"/>
    <w:rsid w:val="00EE0AD4"/>
    <w:rsid w:val="00EE1C2E"/>
    <w:rsid w:val="00EE29E0"/>
    <w:rsid w:val="00EE6EBA"/>
    <w:rsid w:val="00EE7089"/>
    <w:rsid w:val="00EE7C1F"/>
    <w:rsid w:val="00EF0AFB"/>
    <w:rsid w:val="00EF17CC"/>
    <w:rsid w:val="00EF219B"/>
    <w:rsid w:val="00EF5437"/>
    <w:rsid w:val="00EF73FF"/>
    <w:rsid w:val="00F01334"/>
    <w:rsid w:val="00F02A78"/>
    <w:rsid w:val="00F0384E"/>
    <w:rsid w:val="00F043BE"/>
    <w:rsid w:val="00F06A94"/>
    <w:rsid w:val="00F1572E"/>
    <w:rsid w:val="00F22479"/>
    <w:rsid w:val="00F2618A"/>
    <w:rsid w:val="00F348AF"/>
    <w:rsid w:val="00F3589E"/>
    <w:rsid w:val="00F36BE0"/>
    <w:rsid w:val="00F37589"/>
    <w:rsid w:val="00F40AD3"/>
    <w:rsid w:val="00F41205"/>
    <w:rsid w:val="00F419BC"/>
    <w:rsid w:val="00F41A11"/>
    <w:rsid w:val="00F442E5"/>
    <w:rsid w:val="00F456B3"/>
    <w:rsid w:val="00F47FB7"/>
    <w:rsid w:val="00F504A9"/>
    <w:rsid w:val="00F50B00"/>
    <w:rsid w:val="00F52BBE"/>
    <w:rsid w:val="00F55F15"/>
    <w:rsid w:val="00F569B6"/>
    <w:rsid w:val="00F56D44"/>
    <w:rsid w:val="00F57198"/>
    <w:rsid w:val="00F60953"/>
    <w:rsid w:val="00F61787"/>
    <w:rsid w:val="00F631EC"/>
    <w:rsid w:val="00F651E7"/>
    <w:rsid w:val="00F654C9"/>
    <w:rsid w:val="00F65503"/>
    <w:rsid w:val="00F676E1"/>
    <w:rsid w:val="00F7173D"/>
    <w:rsid w:val="00F75917"/>
    <w:rsid w:val="00F82122"/>
    <w:rsid w:val="00F8348D"/>
    <w:rsid w:val="00F860F0"/>
    <w:rsid w:val="00F8643A"/>
    <w:rsid w:val="00F87D63"/>
    <w:rsid w:val="00F90AAB"/>
    <w:rsid w:val="00F92176"/>
    <w:rsid w:val="00F92391"/>
    <w:rsid w:val="00F92C25"/>
    <w:rsid w:val="00F92DEA"/>
    <w:rsid w:val="00F9462B"/>
    <w:rsid w:val="00F94E7C"/>
    <w:rsid w:val="00F95101"/>
    <w:rsid w:val="00F95EC2"/>
    <w:rsid w:val="00F97354"/>
    <w:rsid w:val="00FA11F2"/>
    <w:rsid w:val="00FA3168"/>
    <w:rsid w:val="00FA5247"/>
    <w:rsid w:val="00FB128F"/>
    <w:rsid w:val="00FB180F"/>
    <w:rsid w:val="00FB4CAB"/>
    <w:rsid w:val="00FB653E"/>
    <w:rsid w:val="00FB7CD6"/>
    <w:rsid w:val="00FC11A8"/>
    <w:rsid w:val="00FC313E"/>
    <w:rsid w:val="00FC4994"/>
    <w:rsid w:val="00FD1E2B"/>
    <w:rsid w:val="00FD2AC7"/>
    <w:rsid w:val="00FD4883"/>
    <w:rsid w:val="00FD505E"/>
    <w:rsid w:val="00FE2011"/>
    <w:rsid w:val="00FE30D7"/>
    <w:rsid w:val="00FE356B"/>
    <w:rsid w:val="00FE4F97"/>
    <w:rsid w:val="00FF116D"/>
    <w:rsid w:val="00FF1FF1"/>
    <w:rsid w:val="00FF3560"/>
    <w:rsid w:val="00FF3683"/>
    <w:rsid w:val="00FF4365"/>
    <w:rsid w:val="00FF4525"/>
    <w:rsid w:val="00FF5497"/>
    <w:rsid w:val="00FF6F8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1C59E2"/>
  <w15:chartTrackingRefBased/>
  <w15:docId w15:val="{0A6866ED-21D1-4CD0-B2C7-328489F13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GB" w:bidi="ar-SA"/>
      </w:rPr>
    </w:rPrDefault>
    <w:pPrDefault>
      <w:pPr>
        <w:spacing w:after="200" w:line="2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iPriority="47" w:unhideWhenUsed="1"/>
    <w:lsdException w:name="List 2" w:semiHidden="1" w:unhideWhenUsed="1"/>
    <w:lsdException w:name="List 3" w:semiHidden="1" w:unhideWhenUsed="1"/>
    <w:lsdException w:name="List 4" w:semiHidden="1" w:uiPriority="47" w:unhideWhenUsed="1"/>
    <w:lsdException w:name="List 5" w:semiHidden="1" w:uiPriority="47"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lsdException w:name="Signature" w:semiHidden="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nhideWhenUsed="1"/>
    <w:lsdException w:name="Salutation" w:semiHidden="1" w:unhideWhenUsed="1"/>
    <w:lsdException w:name="Date" w:uiPriority="29"/>
    <w:lsdException w:name="Body Text First Indent" w:semiHidden="1"/>
    <w:lsdException w:name="Body Text First Indent 2" w:semiHidden="1" w:unhideWhenUsed="1"/>
    <w:lsdException w:name="Note Heading" w:semiHidden="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lsdException w:name="Emphasis" w:uiPriority="2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lsdException w:name="HTML Address" w:semiHidden="1" w:unhideWhenUsed="1"/>
    <w:lsdException w:name="HTML Cite" w:semiHidden="1"/>
    <w:lsdException w:name="HTML Code" w:semiHidden="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lsdException w:name="Quote" w:semiHidden="1" w:uiPriority="29"/>
    <w:lsdException w:name="Intense Quote" w:semiHidden="1" w:uiPriority="2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29"/>
    <w:lsdException w:name="Intense Emphasis" w:semiHidden="1" w:uiPriority="29"/>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B2BAC"/>
    <w:pPr>
      <w:spacing w:line="276" w:lineRule="auto"/>
    </w:pPr>
    <w:rPr>
      <w:rFonts w:ascii="Times New Roman" w:hAnsi="Times New Roman"/>
      <w:lang w:val="es-ES"/>
    </w:rPr>
  </w:style>
  <w:style w:type="paragraph" w:styleId="Ttulo1">
    <w:name w:val="heading 1"/>
    <w:basedOn w:val="Normal"/>
    <w:next w:val="Normal"/>
    <w:link w:val="Ttulo1Car"/>
    <w:uiPriority w:val="9"/>
    <w:qFormat/>
    <w:rsid w:val="00F654C9"/>
    <w:pPr>
      <w:numPr>
        <w:numId w:val="1"/>
      </w:numPr>
      <w:outlineLvl w:val="0"/>
    </w:pPr>
    <w:rPr>
      <w:rFonts w:cs="Arial"/>
      <w:bCs/>
      <w:szCs w:val="32"/>
    </w:rPr>
  </w:style>
  <w:style w:type="paragraph" w:styleId="Ttulo2">
    <w:name w:val="heading 2"/>
    <w:basedOn w:val="Normal"/>
    <w:next w:val="Normal"/>
    <w:link w:val="Ttulo2Car"/>
    <w:uiPriority w:val="9"/>
    <w:qFormat/>
    <w:rsid w:val="00F654C9"/>
    <w:pPr>
      <w:numPr>
        <w:ilvl w:val="1"/>
        <w:numId w:val="1"/>
      </w:numPr>
      <w:outlineLvl w:val="1"/>
    </w:pPr>
    <w:rPr>
      <w:rFonts w:cs="Arial"/>
      <w:bCs/>
      <w:iCs/>
      <w:szCs w:val="28"/>
    </w:rPr>
  </w:style>
  <w:style w:type="paragraph" w:styleId="Ttulo3">
    <w:name w:val="heading 3"/>
    <w:basedOn w:val="Normal"/>
    <w:next w:val="Normal"/>
    <w:link w:val="Ttulo3Car"/>
    <w:uiPriority w:val="9"/>
    <w:unhideWhenUsed/>
    <w:qFormat/>
    <w:rsid w:val="00F654C9"/>
    <w:pPr>
      <w:keepNext/>
      <w:keepLines/>
      <w:numPr>
        <w:ilvl w:val="2"/>
        <w:numId w:val="1"/>
      </w:numPr>
      <w:spacing w:before="40" w:after="0"/>
      <w:outlineLvl w:val="2"/>
    </w:pPr>
    <w:rPr>
      <w:rFonts w:asciiTheme="majorHAnsi" w:eastAsiaTheme="majorEastAsia" w:hAnsiTheme="majorHAnsi" w:cstheme="majorBidi"/>
      <w:color w:val="002943" w:themeColor="accent1" w:themeShade="7F"/>
      <w:sz w:val="24"/>
      <w:szCs w:val="24"/>
    </w:rPr>
  </w:style>
  <w:style w:type="paragraph" w:styleId="Ttulo4">
    <w:name w:val="heading 4"/>
    <w:basedOn w:val="Normal"/>
    <w:next w:val="Normal"/>
    <w:semiHidden/>
    <w:rsid w:val="00F654C9"/>
    <w:pPr>
      <w:outlineLvl w:val="3"/>
    </w:pPr>
    <w:rPr>
      <w:bCs/>
      <w:szCs w:val="28"/>
    </w:rPr>
  </w:style>
  <w:style w:type="paragraph" w:styleId="Ttulo5">
    <w:name w:val="heading 5"/>
    <w:basedOn w:val="Normal"/>
    <w:next w:val="Normal"/>
    <w:semiHidden/>
    <w:rsid w:val="00F654C9"/>
    <w:pPr>
      <w:numPr>
        <w:ilvl w:val="4"/>
        <w:numId w:val="1"/>
      </w:numPr>
      <w:outlineLvl w:val="4"/>
    </w:pPr>
    <w:rPr>
      <w:bCs/>
      <w:iCs/>
      <w:szCs w:val="26"/>
    </w:rPr>
  </w:style>
  <w:style w:type="paragraph" w:styleId="Ttulo6">
    <w:name w:val="heading 6"/>
    <w:basedOn w:val="Normal"/>
    <w:next w:val="Normal"/>
    <w:link w:val="Ttulo6Car"/>
    <w:uiPriority w:val="9"/>
    <w:semiHidden/>
    <w:unhideWhenUsed/>
    <w:qFormat/>
    <w:rsid w:val="00F654C9"/>
    <w:pPr>
      <w:keepNext/>
      <w:keepLines/>
      <w:numPr>
        <w:ilvl w:val="5"/>
        <w:numId w:val="1"/>
      </w:numPr>
      <w:spacing w:before="40" w:after="0"/>
      <w:outlineLvl w:val="5"/>
    </w:pPr>
    <w:rPr>
      <w:rFonts w:asciiTheme="majorHAnsi" w:eastAsiaTheme="majorEastAsia" w:hAnsiTheme="majorHAnsi" w:cstheme="majorBidi"/>
      <w:color w:val="002943" w:themeColor="accent1" w:themeShade="7F"/>
    </w:rPr>
  </w:style>
  <w:style w:type="paragraph" w:styleId="Ttulo7">
    <w:name w:val="heading 7"/>
    <w:basedOn w:val="Normal"/>
    <w:next w:val="Normal"/>
    <w:link w:val="Ttulo7Car"/>
    <w:uiPriority w:val="9"/>
    <w:semiHidden/>
    <w:unhideWhenUsed/>
    <w:qFormat/>
    <w:rsid w:val="00F654C9"/>
    <w:pPr>
      <w:keepNext/>
      <w:keepLines/>
      <w:numPr>
        <w:ilvl w:val="6"/>
        <w:numId w:val="1"/>
      </w:numPr>
      <w:spacing w:before="40" w:after="0"/>
      <w:outlineLvl w:val="6"/>
    </w:pPr>
    <w:rPr>
      <w:rFonts w:asciiTheme="majorHAnsi" w:eastAsiaTheme="majorEastAsia" w:hAnsiTheme="majorHAnsi" w:cstheme="majorBidi"/>
      <w:i/>
      <w:iCs/>
      <w:color w:val="002943" w:themeColor="accent1" w:themeShade="7F"/>
    </w:rPr>
  </w:style>
  <w:style w:type="paragraph" w:styleId="Ttulo8">
    <w:name w:val="heading 8"/>
    <w:basedOn w:val="Normal"/>
    <w:next w:val="Normal"/>
    <w:link w:val="Ttulo8Car"/>
    <w:uiPriority w:val="9"/>
    <w:semiHidden/>
    <w:unhideWhenUsed/>
    <w:qFormat/>
    <w:rsid w:val="00F654C9"/>
    <w:pPr>
      <w:keepNext/>
      <w:keepLines/>
      <w:numPr>
        <w:ilvl w:val="7"/>
        <w:numId w:val="1"/>
      </w:numPr>
      <w:spacing w:before="40" w:after="0"/>
      <w:outlineLvl w:val="7"/>
    </w:pPr>
    <w:rPr>
      <w:rFonts w:asciiTheme="majorHAnsi" w:eastAsiaTheme="majorEastAsia" w:hAnsiTheme="majorHAnsi" w:cstheme="majorBidi"/>
      <w:color w:val="272727" w:themeColor="text1" w:themeTint="D8"/>
      <w:szCs w:val="21"/>
    </w:rPr>
  </w:style>
  <w:style w:type="paragraph" w:styleId="Ttulo9">
    <w:name w:val="heading 9"/>
    <w:basedOn w:val="Normal"/>
    <w:next w:val="Normal"/>
    <w:link w:val="Ttulo9Car"/>
    <w:uiPriority w:val="9"/>
    <w:semiHidden/>
    <w:unhideWhenUsed/>
    <w:qFormat/>
    <w:rsid w:val="00F654C9"/>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PLLprrafo0">
    <w:name w:val="B PLL párrafo 0"/>
    <w:basedOn w:val="PLLPrrafo"/>
    <w:link w:val="BPLLprrafo0Car"/>
    <w:qFormat/>
    <w:rsid w:val="00F654C9"/>
    <w:pPr>
      <w:jc w:val="both"/>
    </w:pPr>
  </w:style>
  <w:style w:type="paragraph" w:customStyle="1" w:styleId="BPLLprrafo1">
    <w:name w:val="B PLL párrafo 1"/>
    <w:basedOn w:val="BPLLprrafo0"/>
    <w:qFormat/>
    <w:rsid w:val="00F654C9"/>
  </w:style>
  <w:style w:type="paragraph" w:customStyle="1" w:styleId="BPLLprrafo3">
    <w:name w:val="B PLL párrafo 3"/>
    <w:basedOn w:val="BPLLprrafo0"/>
    <w:qFormat/>
    <w:rsid w:val="00F654C9"/>
    <w:pPr>
      <w:ind w:left="1418"/>
    </w:pPr>
  </w:style>
  <w:style w:type="paragraph" w:customStyle="1" w:styleId="BPLLprrafo4">
    <w:name w:val="B PLL párrafo 4"/>
    <w:basedOn w:val="BPLLprrafo0"/>
    <w:qFormat/>
    <w:rsid w:val="00F654C9"/>
    <w:pPr>
      <w:ind w:left="1985"/>
    </w:pPr>
  </w:style>
  <w:style w:type="paragraph" w:customStyle="1" w:styleId="BPLLprrafo5">
    <w:name w:val="B PLL párrafo 5"/>
    <w:basedOn w:val="Normal"/>
    <w:qFormat/>
    <w:rsid w:val="00F654C9"/>
    <w:pPr>
      <w:ind w:left="2693"/>
      <w:jc w:val="both"/>
    </w:pPr>
    <w:rPr>
      <w:kern w:val="20"/>
    </w:rPr>
  </w:style>
  <w:style w:type="paragraph" w:customStyle="1" w:styleId="BPLLprrafo6">
    <w:name w:val="B PLL párrafo 6"/>
    <w:basedOn w:val="Normal"/>
    <w:qFormat/>
    <w:rsid w:val="00F654C9"/>
    <w:pPr>
      <w:ind w:left="3402"/>
      <w:jc w:val="both"/>
    </w:pPr>
    <w:rPr>
      <w:kern w:val="20"/>
    </w:rPr>
  </w:style>
  <w:style w:type="paragraph" w:customStyle="1" w:styleId="BPLLprrafo7">
    <w:name w:val="B PLL párrafo 7"/>
    <w:basedOn w:val="Normal"/>
    <w:link w:val="BPLLprrafo7Car"/>
    <w:qFormat/>
    <w:rsid w:val="00F654C9"/>
    <w:pPr>
      <w:ind w:left="4111"/>
      <w:jc w:val="both"/>
    </w:pPr>
  </w:style>
  <w:style w:type="paragraph" w:customStyle="1" w:styleId="APLLNivel0clusula">
    <w:name w:val="A PLL Nivel 0 cláusula"/>
    <w:basedOn w:val="Normal"/>
    <w:next w:val="BPLLprrafo1"/>
    <w:link w:val="APLLNivel0clusulaCar"/>
    <w:autoRedefine/>
    <w:semiHidden/>
    <w:rsid w:val="00F654C9"/>
    <w:pPr>
      <w:keepNext/>
      <w:numPr>
        <w:numId w:val="15"/>
      </w:numPr>
      <w:spacing w:before="280" w:after="140" w:line="290" w:lineRule="auto"/>
      <w:outlineLvl w:val="0"/>
    </w:pPr>
    <w:rPr>
      <w:b/>
      <w:bCs/>
      <w:caps/>
      <w:kern w:val="20"/>
      <w:szCs w:val="32"/>
    </w:rPr>
  </w:style>
  <w:style w:type="paragraph" w:customStyle="1" w:styleId="APLLNivel2subclusula">
    <w:name w:val="A PLL Nivel 2 subcláusula"/>
    <w:basedOn w:val="Normal"/>
    <w:next w:val="BPLLprrafo1"/>
    <w:link w:val="APLLNivel2subclusulaCar"/>
    <w:qFormat/>
    <w:rsid w:val="00F654C9"/>
    <w:pPr>
      <w:numPr>
        <w:ilvl w:val="1"/>
        <w:numId w:val="40"/>
      </w:numPr>
      <w:jc w:val="both"/>
      <w:outlineLvl w:val="1"/>
    </w:pPr>
    <w:rPr>
      <w:b/>
      <w:kern w:val="20"/>
      <w:szCs w:val="28"/>
    </w:rPr>
  </w:style>
  <w:style w:type="paragraph" w:customStyle="1" w:styleId="Level4">
    <w:name w:val="Level 4"/>
    <w:basedOn w:val="Normal"/>
    <w:uiPriority w:val="47"/>
    <w:semiHidden/>
    <w:unhideWhenUsed/>
    <w:rsid w:val="00F654C9"/>
    <w:pPr>
      <w:numPr>
        <w:ilvl w:val="3"/>
        <w:numId w:val="15"/>
      </w:numPr>
      <w:spacing w:after="140" w:line="290" w:lineRule="auto"/>
      <w:outlineLvl w:val="3"/>
    </w:pPr>
    <w:rPr>
      <w:kern w:val="20"/>
    </w:rPr>
  </w:style>
  <w:style w:type="paragraph" w:customStyle="1" w:styleId="Level5">
    <w:name w:val="Level 5"/>
    <w:basedOn w:val="Normal"/>
    <w:uiPriority w:val="47"/>
    <w:semiHidden/>
    <w:unhideWhenUsed/>
    <w:rsid w:val="00F654C9"/>
    <w:pPr>
      <w:numPr>
        <w:ilvl w:val="4"/>
        <w:numId w:val="15"/>
      </w:numPr>
      <w:spacing w:after="140" w:line="290" w:lineRule="auto"/>
      <w:outlineLvl w:val="4"/>
    </w:pPr>
    <w:rPr>
      <w:kern w:val="20"/>
    </w:rPr>
  </w:style>
  <w:style w:type="paragraph" w:customStyle="1" w:styleId="Level6">
    <w:name w:val="Level 6"/>
    <w:basedOn w:val="Normal"/>
    <w:uiPriority w:val="47"/>
    <w:semiHidden/>
    <w:rsid w:val="00F654C9"/>
    <w:pPr>
      <w:numPr>
        <w:ilvl w:val="5"/>
        <w:numId w:val="15"/>
      </w:numPr>
      <w:spacing w:after="140" w:line="290" w:lineRule="auto"/>
      <w:outlineLvl w:val="5"/>
    </w:pPr>
    <w:rPr>
      <w:kern w:val="20"/>
    </w:rPr>
  </w:style>
  <w:style w:type="paragraph" w:customStyle="1" w:styleId="CPLLpartes">
    <w:name w:val="C PLL partes"/>
    <w:basedOn w:val="Normal"/>
    <w:qFormat/>
    <w:rsid w:val="00F654C9"/>
    <w:pPr>
      <w:numPr>
        <w:numId w:val="2"/>
      </w:numPr>
      <w:jc w:val="both"/>
    </w:pPr>
    <w:rPr>
      <w:kern w:val="20"/>
    </w:rPr>
  </w:style>
  <w:style w:type="paragraph" w:customStyle="1" w:styleId="CPLLExpositivos">
    <w:name w:val="C PLL Expositivos"/>
    <w:basedOn w:val="Normal"/>
    <w:qFormat/>
    <w:rsid w:val="00F654C9"/>
    <w:pPr>
      <w:numPr>
        <w:numId w:val="3"/>
      </w:numPr>
      <w:jc w:val="both"/>
    </w:pPr>
    <w:rPr>
      <w:kern w:val="20"/>
    </w:rPr>
  </w:style>
  <w:style w:type="paragraph" w:customStyle="1" w:styleId="PLLalpha1">
    <w:name w:val="PLL alpha 1"/>
    <w:basedOn w:val="Normal"/>
    <w:rsid w:val="00F654C9"/>
    <w:pPr>
      <w:numPr>
        <w:numId w:val="28"/>
      </w:numPr>
      <w:jc w:val="both"/>
      <w:outlineLvl w:val="0"/>
    </w:pPr>
    <w:rPr>
      <w:kern w:val="20"/>
    </w:rPr>
  </w:style>
  <w:style w:type="paragraph" w:customStyle="1" w:styleId="PLLalpha3">
    <w:name w:val="PLL alpha 3"/>
    <w:basedOn w:val="Normal"/>
    <w:rsid w:val="00F654C9"/>
    <w:pPr>
      <w:numPr>
        <w:numId w:val="4"/>
      </w:numPr>
      <w:jc w:val="both"/>
      <w:outlineLvl w:val="1"/>
    </w:pPr>
    <w:rPr>
      <w:kern w:val="20"/>
    </w:rPr>
  </w:style>
  <w:style w:type="paragraph" w:customStyle="1" w:styleId="PLLalpha4">
    <w:name w:val="PLL alpha 4"/>
    <w:basedOn w:val="Normal"/>
    <w:rsid w:val="00F654C9"/>
    <w:pPr>
      <w:numPr>
        <w:numId w:val="5"/>
      </w:numPr>
      <w:jc w:val="both"/>
      <w:outlineLvl w:val="2"/>
    </w:pPr>
    <w:rPr>
      <w:kern w:val="20"/>
    </w:rPr>
  </w:style>
  <w:style w:type="paragraph" w:customStyle="1" w:styleId="PLLalpha5">
    <w:name w:val="PLL alpha 5"/>
    <w:basedOn w:val="Normal"/>
    <w:rsid w:val="00F654C9"/>
    <w:pPr>
      <w:numPr>
        <w:numId w:val="6"/>
      </w:numPr>
      <w:jc w:val="both"/>
      <w:outlineLvl w:val="3"/>
    </w:pPr>
    <w:rPr>
      <w:kern w:val="20"/>
    </w:rPr>
  </w:style>
  <w:style w:type="paragraph" w:customStyle="1" w:styleId="PLLalpha6">
    <w:name w:val="PLL alpha 6"/>
    <w:basedOn w:val="Normal"/>
    <w:rsid w:val="00F654C9"/>
    <w:pPr>
      <w:numPr>
        <w:numId w:val="7"/>
      </w:numPr>
      <w:tabs>
        <w:tab w:val="clear" w:pos="3288"/>
        <w:tab w:val="num" w:pos="360"/>
      </w:tabs>
      <w:jc w:val="both"/>
      <w:outlineLvl w:val="4"/>
    </w:pPr>
    <w:rPr>
      <w:kern w:val="20"/>
    </w:rPr>
  </w:style>
  <w:style w:type="paragraph" w:customStyle="1" w:styleId="PLLalpha7">
    <w:name w:val="PLL alpha 7"/>
    <w:basedOn w:val="Normal"/>
    <w:rsid w:val="00F654C9"/>
    <w:pPr>
      <w:numPr>
        <w:numId w:val="8"/>
      </w:numPr>
      <w:tabs>
        <w:tab w:val="clear" w:pos="3969"/>
        <w:tab w:val="num" w:pos="360"/>
        <w:tab w:val="num" w:pos="4111"/>
      </w:tabs>
      <w:jc w:val="both"/>
      <w:outlineLvl w:val="5"/>
    </w:pPr>
    <w:rPr>
      <w:kern w:val="20"/>
    </w:rPr>
  </w:style>
  <w:style w:type="paragraph" w:customStyle="1" w:styleId="PLLbullet1">
    <w:name w:val="PLL bullet 1"/>
    <w:basedOn w:val="Normal"/>
    <w:rsid w:val="00F654C9"/>
    <w:pPr>
      <w:numPr>
        <w:numId w:val="29"/>
      </w:numPr>
      <w:jc w:val="both"/>
      <w:outlineLvl w:val="0"/>
    </w:pPr>
    <w:rPr>
      <w:kern w:val="20"/>
    </w:rPr>
  </w:style>
  <w:style w:type="paragraph" w:customStyle="1" w:styleId="PLLbullet3">
    <w:name w:val="PLL bullet 3"/>
    <w:basedOn w:val="Normal"/>
    <w:rsid w:val="00F654C9"/>
    <w:pPr>
      <w:numPr>
        <w:numId w:val="9"/>
      </w:numPr>
      <w:jc w:val="both"/>
      <w:outlineLvl w:val="1"/>
    </w:pPr>
    <w:rPr>
      <w:kern w:val="20"/>
    </w:rPr>
  </w:style>
  <w:style w:type="paragraph" w:customStyle="1" w:styleId="PLLbullet4">
    <w:name w:val="PLL bullet 4"/>
    <w:basedOn w:val="Normal"/>
    <w:rsid w:val="00F654C9"/>
    <w:pPr>
      <w:numPr>
        <w:numId w:val="10"/>
      </w:numPr>
      <w:jc w:val="both"/>
      <w:outlineLvl w:val="2"/>
    </w:pPr>
    <w:rPr>
      <w:kern w:val="20"/>
    </w:rPr>
  </w:style>
  <w:style w:type="paragraph" w:customStyle="1" w:styleId="PLLbullet5">
    <w:name w:val="PLL bullet 5"/>
    <w:basedOn w:val="Normal"/>
    <w:rsid w:val="00F654C9"/>
    <w:pPr>
      <w:numPr>
        <w:numId w:val="11"/>
      </w:numPr>
      <w:jc w:val="both"/>
      <w:outlineLvl w:val="3"/>
    </w:pPr>
    <w:rPr>
      <w:kern w:val="20"/>
    </w:rPr>
  </w:style>
  <w:style w:type="paragraph" w:customStyle="1" w:styleId="PLLbullet6">
    <w:name w:val="PLL bullet 6"/>
    <w:basedOn w:val="Normal"/>
    <w:rsid w:val="00F654C9"/>
    <w:pPr>
      <w:numPr>
        <w:numId w:val="12"/>
      </w:numPr>
      <w:jc w:val="both"/>
      <w:outlineLvl w:val="4"/>
    </w:pPr>
    <w:rPr>
      <w:kern w:val="20"/>
    </w:rPr>
  </w:style>
  <w:style w:type="paragraph" w:customStyle="1" w:styleId="PLLbullet7">
    <w:name w:val="PLL bullet 7"/>
    <w:basedOn w:val="Normal"/>
    <w:rsid w:val="00F654C9"/>
    <w:pPr>
      <w:numPr>
        <w:numId w:val="13"/>
      </w:numPr>
      <w:tabs>
        <w:tab w:val="clear" w:pos="3969"/>
        <w:tab w:val="num" w:pos="4111"/>
      </w:tabs>
      <w:jc w:val="both"/>
      <w:outlineLvl w:val="5"/>
    </w:pPr>
    <w:rPr>
      <w:kern w:val="20"/>
    </w:rPr>
  </w:style>
  <w:style w:type="paragraph" w:customStyle="1" w:styleId="PLLroman1">
    <w:name w:val="PLL roman 1"/>
    <w:basedOn w:val="Normal"/>
    <w:rsid w:val="00F654C9"/>
    <w:pPr>
      <w:numPr>
        <w:numId w:val="31"/>
      </w:numPr>
      <w:jc w:val="both"/>
      <w:outlineLvl w:val="0"/>
    </w:pPr>
    <w:rPr>
      <w:kern w:val="20"/>
    </w:rPr>
  </w:style>
  <w:style w:type="paragraph" w:customStyle="1" w:styleId="PLLroman3">
    <w:name w:val="PLL roman 3"/>
    <w:basedOn w:val="Normal"/>
    <w:rsid w:val="00F654C9"/>
    <w:pPr>
      <w:numPr>
        <w:ilvl w:val="2"/>
        <w:numId w:val="31"/>
      </w:numPr>
      <w:jc w:val="both"/>
      <w:outlineLvl w:val="1"/>
    </w:pPr>
    <w:rPr>
      <w:kern w:val="20"/>
    </w:rPr>
  </w:style>
  <w:style w:type="paragraph" w:customStyle="1" w:styleId="PLLroman4">
    <w:name w:val="PLL roman 4"/>
    <w:basedOn w:val="Normal"/>
    <w:rsid w:val="00F654C9"/>
    <w:pPr>
      <w:numPr>
        <w:ilvl w:val="3"/>
        <w:numId w:val="31"/>
      </w:numPr>
      <w:jc w:val="both"/>
      <w:outlineLvl w:val="2"/>
    </w:pPr>
    <w:rPr>
      <w:kern w:val="20"/>
    </w:rPr>
  </w:style>
  <w:style w:type="paragraph" w:customStyle="1" w:styleId="PLLroman5">
    <w:name w:val="PLL roman 5"/>
    <w:basedOn w:val="Normal"/>
    <w:rsid w:val="00F654C9"/>
    <w:pPr>
      <w:numPr>
        <w:ilvl w:val="4"/>
        <w:numId w:val="31"/>
      </w:numPr>
      <w:jc w:val="both"/>
      <w:outlineLvl w:val="3"/>
    </w:pPr>
    <w:rPr>
      <w:kern w:val="20"/>
    </w:rPr>
  </w:style>
  <w:style w:type="paragraph" w:customStyle="1" w:styleId="PLLroman6">
    <w:name w:val="PLL roman 6"/>
    <w:basedOn w:val="Normal"/>
    <w:rsid w:val="00F654C9"/>
    <w:pPr>
      <w:numPr>
        <w:ilvl w:val="5"/>
        <w:numId w:val="31"/>
      </w:numPr>
      <w:jc w:val="both"/>
      <w:outlineLvl w:val="4"/>
    </w:pPr>
    <w:rPr>
      <w:kern w:val="20"/>
    </w:rPr>
  </w:style>
  <w:style w:type="paragraph" w:customStyle="1" w:styleId="PLLroman7">
    <w:name w:val="PLL roman 7"/>
    <w:basedOn w:val="Normal"/>
    <w:rsid w:val="00F654C9"/>
    <w:pPr>
      <w:numPr>
        <w:ilvl w:val="6"/>
        <w:numId w:val="31"/>
      </w:numPr>
      <w:jc w:val="both"/>
      <w:outlineLvl w:val="5"/>
    </w:pPr>
    <w:rPr>
      <w:kern w:val="20"/>
    </w:rPr>
  </w:style>
  <w:style w:type="paragraph" w:customStyle="1" w:styleId="PLLTablaencabezado">
    <w:name w:val="PLL Tabla encabezado"/>
    <w:basedOn w:val="Normal"/>
    <w:rsid w:val="00F654C9"/>
    <w:pPr>
      <w:keepNext/>
      <w:spacing w:before="60" w:after="60" w:line="240" w:lineRule="auto"/>
      <w:jc w:val="both"/>
    </w:pPr>
    <w:rPr>
      <w:b/>
      <w:kern w:val="20"/>
    </w:rPr>
  </w:style>
  <w:style w:type="paragraph" w:styleId="Ttulo">
    <w:name w:val="Title"/>
    <w:basedOn w:val="Normal"/>
    <w:next w:val="PLLPrrafo"/>
    <w:link w:val="TtuloCar"/>
    <w:autoRedefine/>
    <w:semiHidden/>
    <w:qFormat/>
    <w:rsid w:val="00F654C9"/>
    <w:pPr>
      <w:keepNext/>
      <w:widowControl w:val="0"/>
      <w:jc w:val="center"/>
    </w:pPr>
    <w:rPr>
      <w:rFonts w:cs="Tahoma"/>
      <w:b/>
      <w:caps/>
      <w:sz w:val="24"/>
      <w:szCs w:val="24"/>
    </w:rPr>
  </w:style>
  <w:style w:type="paragraph" w:customStyle="1" w:styleId="EPLLencabezado3">
    <w:name w:val="E PLL encabezado 3"/>
    <w:basedOn w:val="EPLLencabezado"/>
    <w:next w:val="BPLLprrafo1"/>
    <w:rsid w:val="00F654C9"/>
    <w:pPr>
      <w:ind w:left="1418"/>
    </w:pPr>
  </w:style>
  <w:style w:type="paragraph" w:customStyle="1" w:styleId="MPLLAnexos">
    <w:name w:val="M PLL Anexos"/>
    <w:basedOn w:val="Normal"/>
    <w:next w:val="BPLLprrafo0"/>
    <w:qFormat/>
    <w:rsid w:val="00F654C9"/>
    <w:pPr>
      <w:keepNext/>
      <w:pageBreakBefore/>
      <w:jc w:val="center"/>
      <w:outlineLvl w:val="3"/>
    </w:pPr>
    <w:rPr>
      <w:b/>
      <w:kern w:val="23"/>
      <w:sz w:val="24"/>
      <w:szCs w:val="26"/>
    </w:rPr>
  </w:style>
  <w:style w:type="paragraph" w:customStyle="1" w:styleId="Schedule1">
    <w:name w:val="Schedule 1"/>
    <w:basedOn w:val="Normal"/>
    <w:semiHidden/>
    <w:rsid w:val="00F654C9"/>
    <w:pPr>
      <w:numPr>
        <w:numId w:val="14"/>
      </w:numPr>
      <w:spacing w:after="140" w:line="290" w:lineRule="auto"/>
      <w:outlineLvl w:val="0"/>
    </w:pPr>
    <w:rPr>
      <w:kern w:val="20"/>
    </w:rPr>
  </w:style>
  <w:style w:type="paragraph" w:customStyle="1" w:styleId="Schedule2">
    <w:name w:val="Schedule 2"/>
    <w:basedOn w:val="Normal"/>
    <w:semiHidden/>
    <w:rsid w:val="00F654C9"/>
    <w:pPr>
      <w:numPr>
        <w:ilvl w:val="1"/>
        <w:numId w:val="14"/>
      </w:numPr>
      <w:spacing w:after="140" w:line="290" w:lineRule="auto"/>
      <w:outlineLvl w:val="0"/>
    </w:pPr>
    <w:rPr>
      <w:kern w:val="20"/>
    </w:rPr>
  </w:style>
  <w:style w:type="paragraph" w:customStyle="1" w:styleId="Schedule3">
    <w:name w:val="Schedule 3"/>
    <w:basedOn w:val="Normal"/>
    <w:semiHidden/>
    <w:rsid w:val="00F654C9"/>
    <w:pPr>
      <w:numPr>
        <w:ilvl w:val="2"/>
        <w:numId w:val="14"/>
      </w:numPr>
      <w:spacing w:after="140" w:line="290" w:lineRule="auto"/>
      <w:outlineLvl w:val="1"/>
    </w:pPr>
    <w:rPr>
      <w:kern w:val="20"/>
    </w:rPr>
  </w:style>
  <w:style w:type="paragraph" w:customStyle="1" w:styleId="Schedule4">
    <w:name w:val="Schedule 4"/>
    <w:basedOn w:val="Normal"/>
    <w:semiHidden/>
    <w:rsid w:val="00F654C9"/>
    <w:pPr>
      <w:numPr>
        <w:ilvl w:val="3"/>
        <w:numId w:val="14"/>
      </w:numPr>
      <w:spacing w:after="140" w:line="290" w:lineRule="auto"/>
      <w:outlineLvl w:val="2"/>
    </w:pPr>
    <w:rPr>
      <w:kern w:val="20"/>
    </w:rPr>
  </w:style>
  <w:style w:type="paragraph" w:customStyle="1" w:styleId="Schedule5">
    <w:name w:val="Schedule 5"/>
    <w:basedOn w:val="Normal"/>
    <w:semiHidden/>
    <w:rsid w:val="00F654C9"/>
    <w:pPr>
      <w:numPr>
        <w:ilvl w:val="4"/>
        <w:numId w:val="14"/>
      </w:numPr>
      <w:spacing w:after="140" w:line="290" w:lineRule="auto"/>
      <w:outlineLvl w:val="3"/>
    </w:pPr>
    <w:rPr>
      <w:kern w:val="20"/>
    </w:rPr>
  </w:style>
  <w:style w:type="paragraph" w:customStyle="1" w:styleId="Schedule6">
    <w:name w:val="Schedule 6"/>
    <w:basedOn w:val="Normal"/>
    <w:semiHidden/>
    <w:rsid w:val="00F654C9"/>
    <w:pPr>
      <w:numPr>
        <w:ilvl w:val="5"/>
        <w:numId w:val="14"/>
      </w:numPr>
      <w:spacing w:after="140" w:line="290" w:lineRule="auto"/>
      <w:outlineLvl w:val="4"/>
    </w:pPr>
    <w:rPr>
      <w:kern w:val="20"/>
    </w:rPr>
  </w:style>
  <w:style w:type="paragraph" w:styleId="Fecha">
    <w:name w:val="Date"/>
    <w:basedOn w:val="Normal"/>
    <w:next w:val="Normal"/>
    <w:uiPriority w:val="29"/>
    <w:semiHidden/>
    <w:rsid w:val="00F654C9"/>
  </w:style>
  <w:style w:type="paragraph" w:styleId="Piedepgina">
    <w:name w:val="footer"/>
    <w:aliases w:val="zzPie de página"/>
    <w:basedOn w:val="Textonotapie"/>
    <w:link w:val="PiedepginaCar"/>
    <w:uiPriority w:val="99"/>
    <w:rsid w:val="008E7D26"/>
    <w:pPr>
      <w:jc w:val="left"/>
    </w:pPr>
    <w:rPr>
      <w:color w:val="000000"/>
      <w:sz w:val="12"/>
      <w:szCs w:val="20"/>
    </w:rPr>
  </w:style>
  <w:style w:type="character" w:styleId="Refdenotaalpie">
    <w:name w:val="footnote reference"/>
    <w:unhideWhenUsed/>
    <w:rsid w:val="00F654C9"/>
    <w:rPr>
      <w:rFonts w:ascii="Times New Roman" w:hAnsi="Times New Roman"/>
      <w:kern w:val="2"/>
      <w:vertAlign w:val="superscript"/>
    </w:rPr>
  </w:style>
  <w:style w:type="paragraph" w:styleId="Textonotapie">
    <w:name w:val="footnote text"/>
    <w:aliases w:val="Texto nota pie Car2,Texto nota pie Car Car1,Texto nota pie Car1 Car Car,Texto nota pie Car Car Car Car,Texto nota pie Car1 Car1,Texto nota pie Car Car Car1, Char,Char,~FootnoteText,Footnote Text Char2 Char1"/>
    <w:basedOn w:val="Normal"/>
    <w:link w:val="TextonotapieCar"/>
    <w:uiPriority w:val="99"/>
    <w:qFormat/>
    <w:rsid w:val="00B45B06"/>
    <w:pPr>
      <w:keepLines/>
      <w:spacing w:after="60" w:line="200" w:lineRule="atLeast"/>
      <w:jc w:val="both"/>
    </w:pPr>
    <w:rPr>
      <w:kern w:val="20"/>
      <w:sz w:val="20"/>
      <w:szCs w:val="18"/>
    </w:rPr>
  </w:style>
  <w:style w:type="paragraph" w:customStyle="1" w:styleId="Level7">
    <w:name w:val="Level 7"/>
    <w:basedOn w:val="Normal"/>
    <w:uiPriority w:val="47"/>
    <w:semiHidden/>
    <w:rsid w:val="00F654C9"/>
    <w:pPr>
      <w:numPr>
        <w:ilvl w:val="6"/>
        <w:numId w:val="15"/>
      </w:numPr>
      <w:spacing w:after="140" w:line="290" w:lineRule="auto"/>
      <w:outlineLvl w:val="6"/>
    </w:pPr>
    <w:rPr>
      <w:kern w:val="20"/>
    </w:rPr>
  </w:style>
  <w:style w:type="paragraph" w:customStyle="1" w:styleId="Level8">
    <w:name w:val="Level 8"/>
    <w:basedOn w:val="Normal"/>
    <w:uiPriority w:val="47"/>
    <w:semiHidden/>
    <w:rsid w:val="00F654C9"/>
    <w:pPr>
      <w:numPr>
        <w:ilvl w:val="7"/>
        <w:numId w:val="15"/>
      </w:numPr>
      <w:spacing w:after="140" w:line="290" w:lineRule="auto"/>
      <w:outlineLvl w:val="7"/>
    </w:pPr>
    <w:rPr>
      <w:kern w:val="20"/>
    </w:rPr>
  </w:style>
  <w:style w:type="paragraph" w:customStyle="1" w:styleId="Level9">
    <w:name w:val="Level 9"/>
    <w:basedOn w:val="Normal"/>
    <w:uiPriority w:val="47"/>
    <w:semiHidden/>
    <w:rsid w:val="00F654C9"/>
    <w:pPr>
      <w:numPr>
        <w:ilvl w:val="8"/>
        <w:numId w:val="15"/>
      </w:numPr>
      <w:spacing w:after="140" w:line="290" w:lineRule="auto"/>
      <w:outlineLvl w:val="8"/>
    </w:pPr>
    <w:rPr>
      <w:kern w:val="20"/>
    </w:rPr>
  </w:style>
  <w:style w:type="character" w:styleId="Nmerodepgina">
    <w:name w:val="page number"/>
    <w:aliases w:val="zzNúmero de página"/>
    <w:rsid w:val="00F654C9"/>
    <w:rPr>
      <w:rFonts w:ascii="Times New Roman" w:hAnsi="Times New Roman"/>
      <w:sz w:val="20"/>
    </w:rPr>
  </w:style>
  <w:style w:type="paragraph" w:customStyle="1" w:styleId="PLLtabla1">
    <w:name w:val="PLL tabla 1"/>
    <w:basedOn w:val="Normal"/>
    <w:rsid w:val="00F654C9"/>
    <w:pPr>
      <w:numPr>
        <w:numId w:val="16"/>
      </w:numPr>
      <w:spacing w:before="60" w:after="60" w:line="240" w:lineRule="auto"/>
      <w:jc w:val="both"/>
      <w:outlineLvl w:val="0"/>
    </w:pPr>
    <w:rPr>
      <w:b/>
      <w:kern w:val="20"/>
    </w:rPr>
  </w:style>
  <w:style w:type="paragraph" w:customStyle="1" w:styleId="PLLtabla2">
    <w:name w:val="PLL tabla 2"/>
    <w:basedOn w:val="Normal"/>
    <w:rsid w:val="00F654C9"/>
    <w:pPr>
      <w:numPr>
        <w:ilvl w:val="1"/>
        <w:numId w:val="16"/>
      </w:numPr>
      <w:spacing w:before="60" w:after="60" w:line="240" w:lineRule="auto"/>
      <w:jc w:val="both"/>
      <w:outlineLvl w:val="0"/>
    </w:pPr>
    <w:rPr>
      <w:b/>
      <w:kern w:val="20"/>
    </w:rPr>
  </w:style>
  <w:style w:type="paragraph" w:customStyle="1" w:styleId="PLLtabla3">
    <w:name w:val="PLL tabla 3"/>
    <w:basedOn w:val="Normal"/>
    <w:rsid w:val="00F654C9"/>
    <w:pPr>
      <w:numPr>
        <w:ilvl w:val="2"/>
        <w:numId w:val="16"/>
      </w:numPr>
      <w:spacing w:before="60" w:after="60" w:line="240" w:lineRule="auto"/>
      <w:jc w:val="both"/>
      <w:outlineLvl w:val="0"/>
    </w:pPr>
    <w:rPr>
      <w:kern w:val="20"/>
    </w:rPr>
  </w:style>
  <w:style w:type="paragraph" w:customStyle="1" w:styleId="PLLtabla4">
    <w:name w:val="PLL tabla 4"/>
    <w:basedOn w:val="Normal"/>
    <w:rsid w:val="00F654C9"/>
    <w:pPr>
      <w:numPr>
        <w:ilvl w:val="3"/>
        <w:numId w:val="16"/>
      </w:numPr>
      <w:spacing w:before="60" w:after="60" w:line="240" w:lineRule="auto"/>
      <w:jc w:val="both"/>
      <w:outlineLvl w:val="0"/>
    </w:pPr>
    <w:rPr>
      <w:kern w:val="20"/>
    </w:rPr>
  </w:style>
  <w:style w:type="paragraph" w:customStyle="1" w:styleId="PLLtabla5">
    <w:name w:val="PLL tabla 5"/>
    <w:basedOn w:val="Normal"/>
    <w:rsid w:val="00F654C9"/>
    <w:pPr>
      <w:numPr>
        <w:ilvl w:val="4"/>
        <w:numId w:val="16"/>
      </w:numPr>
      <w:spacing w:before="60" w:after="60" w:line="240" w:lineRule="auto"/>
      <w:jc w:val="both"/>
      <w:outlineLvl w:val="0"/>
    </w:pPr>
    <w:rPr>
      <w:kern w:val="20"/>
    </w:rPr>
  </w:style>
  <w:style w:type="paragraph" w:customStyle="1" w:styleId="PLLTabla6">
    <w:name w:val="PLL Tabla 6"/>
    <w:basedOn w:val="Normal"/>
    <w:rsid w:val="00F654C9"/>
    <w:pPr>
      <w:numPr>
        <w:ilvl w:val="5"/>
        <w:numId w:val="16"/>
      </w:numPr>
      <w:spacing w:before="60" w:after="60" w:line="240" w:lineRule="auto"/>
      <w:jc w:val="both"/>
      <w:outlineLvl w:val="0"/>
    </w:pPr>
    <w:rPr>
      <w:kern w:val="20"/>
    </w:rPr>
  </w:style>
  <w:style w:type="paragraph" w:customStyle="1" w:styleId="PLLtablabullet">
    <w:name w:val="PLL tabla bullet"/>
    <w:basedOn w:val="Normal"/>
    <w:rsid w:val="00F654C9"/>
    <w:pPr>
      <w:numPr>
        <w:numId w:val="35"/>
      </w:numPr>
      <w:spacing w:before="60" w:after="60" w:line="240" w:lineRule="auto"/>
      <w:jc w:val="both"/>
    </w:pPr>
    <w:rPr>
      <w:kern w:val="20"/>
    </w:rPr>
  </w:style>
  <w:style w:type="character" w:styleId="Hipervnculo">
    <w:name w:val="Hyperlink"/>
    <w:aliases w:val="z PLL Hipervínculo"/>
    <w:uiPriority w:val="99"/>
    <w:rsid w:val="00F654C9"/>
    <w:rPr>
      <w:color w:val="005487"/>
      <w:u w:val="none"/>
    </w:rPr>
  </w:style>
  <w:style w:type="character" w:styleId="Refdenotaalfinal">
    <w:name w:val="endnote reference"/>
    <w:unhideWhenUsed/>
    <w:rsid w:val="00F654C9"/>
    <w:rPr>
      <w:rFonts w:ascii="Times New Roman" w:hAnsi="Times New Roman"/>
      <w:vertAlign w:val="superscript"/>
    </w:rPr>
  </w:style>
  <w:style w:type="paragraph" w:styleId="Textonotaalfinal">
    <w:name w:val="endnote text"/>
    <w:basedOn w:val="Normal"/>
    <w:semiHidden/>
    <w:rsid w:val="00F654C9"/>
    <w:pPr>
      <w:tabs>
        <w:tab w:val="left" w:pos="227"/>
      </w:tabs>
      <w:spacing w:after="60" w:line="200" w:lineRule="atLeast"/>
      <w:ind w:left="227" w:hanging="227"/>
    </w:pPr>
    <w:rPr>
      <w:kern w:val="20"/>
      <w:sz w:val="16"/>
      <w:szCs w:val="20"/>
    </w:rPr>
  </w:style>
  <w:style w:type="paragraph" w:customStyle="1" w:styleId="EPLLencabezado">
    <w:name w:val="E PLL encabezado"/>
    <w:basedOn w:val="Normal"/>
    <w:next w:val="BPLLprrafo0"/>
    <w:qFormat/>
    <w:rsid w:val="00F654C9"/>
    <w:pPr>
      <w:keepNext/>
      <w:spacing w:before="240"/>
      <w:jc w:val="both"/>
      <w:outlineLvl w:val="0"/>
    </w:pPr>
    <w:rPr>
      <w:b/>
      <w:kern w:val="23"/>
      <w:sz w:val="24"/>
      <w:szCs w:val="27"/>
    </w:rPr>
  </w:style>
  <w:style w:type="paragraph" w:styleId="Textoconsangra">
    <w:name w:val="table of authorities"/>
    <w:basedOn w:val="Normal"/>
    <w:next w:val="Normal"/>
    <w:semiHidden/>
    <w:rsid w:val="00F654C9"/>
    <w:pPr>
      <w:ind w:left="200" w:hanging="200"/>
    </w:pPr>
  </w:style>
  <w:style w:type="paragraph" w:customStyle="1" w:styleId="PLLTablaprrafo">
    <w:name w:val="PLL Tabla párrafo"/>
    <w:basedOn w:val="Normal"/>
    <w:link w:val="PLLTablaprrafoCar"/>
    <w:rsid w:val="00F654C9"/>
    <w:pPr>
      <w:spacing w:before="60" w:after="60" w:line="240" w:lineRule="auto"/>
      <w:jc w:val="both"/>
    </w:pPr>
    <w:rPr>
      <w:kern w:val="20"/>
      <w:szCs w:val="20"/>
    </w:rPr>
  </w:style>
  <w:style w:type="paragraph" w:customStyle="1" w:styleId="DPLLAlphaMAY">
    <w:name w:val="D PLL AlphaMAY"/>
    <w:basedOn w:val="Normal"/>
    <w:qFormat/>
    <w:rsid w:val="00F654C9"/>
    <w:pPr>
      <w:numPr>
        <w:numId w:val="37"/>
      </w:numPr>
      <w:jc w:val="both"/>
      <w:outlineLvl w:val="0"/>
    </w:pPr>
    <w:rPr>
      <w:kern w:val="20"/>
    </w:rPr>
  </w:style>
  <w:style w:type="paragraph" w:customStyle="1" w:styleId="PLLAlphaMAY3">
    <w:name w:val="PLL AlphaMAY 3"/>
    <w:basedOn w:val="Normal"/>
    <w:rsid w:val="00F654C9"/>
    <w:pPr>
      <w:numPr>
        <w:numId w:val="17"/>
      </w:numPr>
      <w:jc w:val="both"/>
      <w:outlineLvl w:val="1"/>
    </w:pPr>
    <w:rPr>
      <w:kern w:val="20"/>
    </w:rPr>
  </w:style>
  <w:style w:type="paragraph" w:customStyle="1" w:styleId="PLLAlphaMAY4">
    <w:name w:val="PLL AlphaMAY 4"/>
    <w:basedOn w:val="Normal"/>
    <w:rsid w:val="00F654C9"/>
    <w:pPr>
      <w:numPr>
        <w:numId w:val="18"/>
      </w:numPr>
      <w:jc w:val="both"/>
      <w:outlineLvl w:val="2"/>
    </w:pPr>
    <w:rPr>
      <w:kern w:val="20"/>
    </w:rPr>
  </w:style>
  <w:style w:type="paragraph" w:customStyle="1" w:styleId="PLLAlphaMAY5">
    <w:name w:val="PLL AlphaMAY 5"/>
    <w:basedOn w:val="Normal"/>
    <w:rsid w:val="00F654C9"/>
    <w:pPr>
      <w:numPr>
        <w:numId w:val="19"/>
      </w:numPr>
      <w:tabs>
        <w:tab w:val="clear" w:pos="2608"/>
        <w:tab w:val="num" w:pos="2694"/>
      </w:tabs>
      <w:jc w:val="both"/>
      <w:outlineLvl w:val="3"/>
    </w:pPr>
    <w:rPr>
      <w:kern w:val="20"/>
    </w:rPr>
  </w:style>
  <w:style w:type="paragraph" w:customStyle="1" w:styleId="PLLAlphaMAY6">
    <w:name w:val="PLL AlphaMAY 6"/>
    <w:basedOn w:val="Normal"/>
    <w:rsid w:val="00F654C9"/>
    <w:pPr>
      <w:numPr>
        <w:numId w:val="20"/>
      </w:numPr>
      <w:tabs>
        <w:tab w:val="clear" w:pos="3288"/>
        <w:tab w:val="num" w:pos="3402"/>
      </w:tabs>
      <w:jc w:val="both"/>
      <w:outlineLvl w:val="4"/>
    </w:pPr>
    <w:rPr>
      <w:kern w:val="20"/>
    </w:rPr>
  </w:style>
  <w:style w:type="paragraph" w:customStyle="1" w:styleId="PLLAlphaMAY7">
    <w:name w:val="PLL AlphaMAY 7"/>
    <w:basedOn w:val="Normal"/>
    <w:rsid w:val="00F654C9"/>
    <w:pPr>
      <w:numPr>
        <w:numId w:val="21"/>
      </w:numPr>
      <w:tabs>
        <w:tab w:val="clear" w:pos="3969"/>
        <w:tab w:val="num" w:pos="4111"/>
      </w:tabs>
      <w:jc w:val="both"/>
      <w:outlineLvl w:val="5"/>
    </w:pPr>
    <w:rPr>
      <w:kern w:val="20"/>
    </w:rPr>
  </w:style>
  <w:style w:type="paragraph" w:customStyle="1" w:styleId="DPLLromanMAY1">
    <w:name w:val="D PLL romanMAY 1"/>
    <w:basedOn w:val="Normal"/>
    <w:rsid w:val="005075A4"/>
    <w:pPr>
      <w:numPr>
        <w:numId w:val="44"/>
      </w:numPr>
      <w:jc w:val="both"/>
      <w:outlineLvl w:val="0"/>
    </w:pPr>
    <w:rPr>
      <w:kern w:val="20"/>
    </w:rPr>
  </w:style>
  <w:style w:type="paragraph" w:customStyle="1" w:styleId="DPLLromanMAY3">
    <w:name w:val="D PLL romanMAY 3"/>
    <w:basedOn w:val="Normal"/>
    <w:qFormat/>
    <w:rsid w:val="00F654C9"/>
    <w:pPr>
      <w:numPr>
        <w:numId w:val="22"/>
      </w:numPr>
      <w:jc w:val="both"/>
      <w:outlineLvl w:val="1"/>
    </w:pPr>
    <w:rPr>
      <w:kern w:val="20"/>
    </w:rPr>
  </w:style>
  <w:style w:type="paragraph" w:customStyle="1" w:styleId="BPLLprrafonumerado">
    <w:name w:val="B PLL párrafo numerado"/>
    <w:basedOn w:val="BPLLprrafo0"/>
    <w:qFormat/>
    <w:rsid w:val="00F654C9"/>
  </w:style>
  <w:style w:type="paragraph" w:customStyle="1" w:styleId="PLLguion1">
    <w:name w:val="PLL guion 1"/>
    <w:basedOn w:val="Normal"/>
    <w:rsid w:val="00F654C9"/>
    <w:pPr>
      <w:numPr>
        <w:numId w:val="30"/>
      </w:numPr>
      <w:jc w:val="both"/>
      <w:outlineLvl w:val="0"/>
    </w:pPr>
    <w:rPr>
      <w:kern w:val="20"/>
    </w:rPr>
  </w:style>
  <w:style w:type="paragraph" w:customStyle="1" w:styleId="PLLguion3">
    <w:name w:val="PLL guion 3"/>
    <w:basedOn w:val="Normal"/>
    <w:rsid w:val="00F654C9"/>
    <w:pPr>
      <w:numPr>
        <w:numId w:val="43"/>
      </w:numPr>
      <w:tabs>
        <w:tab w:val="clear" w:pos="1389"/>
        <w:tab w:val="num" w:pos="1418"/>
      </w:tabs>
      <w:jc w:val="both"/>
      <w:outlineLvl w:val="1"/>
    </w:pPr>
    <w:rPr>
      <w:kern w:val="20"/>
    </w:rPr>
  </w:style>
  <w:style w:type="paragraph" w:customStyle="1" w:styleId="PLLguion4">
    <w:name w:val="PLL guion 4"/>
    <w:basedOn w:val="Normal"/>
    <w:rsid w:val="00F654C9"/>
    <w:pPr>
      <w:numPr>
        <w:numId w:val="23"/>
      </w:numPr>
      <w:jc w:val="both"/>
      <w:outlineLvl w:val="2"/>
    </w:pPr>
    <w:rPr>
      <w:kern w:val="20"/>
    </w:rPr>
  </w:style>
  <w:style w:type="paragraph" w:customStyle="1" w:styleId="PLLguion5">
    <w:name w:val="PLL guion 5"/>
    <w:basedOn w:val="Normal"/>
    <w:rsid w:val="00F654C9"/>
    <w:pPr>
      <w:numPr>
        <w:numId w:val="24"/>
      </w:numPr>
      <w:jc w:val="both"/>
      <w:outlineLvl w:val="3"/>
    </w:pPr>
    <w:rPr>
      <w:kern w:val="20"/>
    </w:rPr>
  </w:style>
  <w:style w:type="paragraph" w:customStyle="1" w:styleId="PLLguion6">
    <w:name w:val="PLL guion 6"/>
    <w:basedOn w:val="Normal"/>
    <w:rsid w:val="00F654C9"/>
    <w:pPr>
      <w:numPr>
        <w:numId w:val="25"/>
      </w:numPr>
      <w:tabs>
        <w:tab w:val="clear" w:pos="3288"/>
        <w:tab w:val="num" w:pos="3402"/>
      </w:tabs>
      <w:jc w:val="both"/>
      <w:outlineLvl w:val="4"/>
    </w:pPr>
    <w:rPr>
      <w:kern w:val="20"/>
    </w:rPr>
  </w:style>
  <w:style w:type="paragraph" w:customStyle="1" w:styleId="PLLguion7">
    <w:name w:val="PLL guion 7"/>
    <w:basedOn w:val="Normal"/>
    <w:rsid w:val="00F654C9"/>
    <w:pPr>
      <w:numPr>
        <w:numId w:val="26"/>
      </w:numPr>
      <w:tabs>
        <w:tab w:val="clear" w:pos="3969"/>
        <w:tab w:val="num" w:pos="4111"/>
      </w:tabs>
      <w:jc w:val="both"/>
      <w:outlineLvl w:val="5"/>
    </w:pPr>
    <w:rPr>
      <w:kern w:val="20"/>
    </w:rPr>
  </w:style>
  <w:style w:type="character" w:styleId="Hipervnculovisitado">
    <w:name w:val="FollowedHyperlink"/>
    <w:aliases w:val="z PLL Hipervínculo visitado"/>
    <w:rsid w:val="00F654C9"/>
    <w:rPr>
      <w:color w:val="406E9C"/>
      <w:u w:val="none"/>
    </w:rPr>
  </w:style>
  <w:style w:type="paragraph" w:styleId="TDC1">
    <w:name w:val="toc 1"/>
    <w:basedOn w:val="Normal"/>
    <w:next w:val="BPLLprrafo0"/>
    <w:uiPriority w:val="39"/>
    <w:semiHidden/>
    <w:rsid w:val="00F654C9"/>
    <w:pPr>
      <w:spacing w:before="280" w:after="140" w:line="290" w:lineRule="auto"/>
    </w:pPr>
    <w:rPr>
      <w:kern w:val="20"/>
    </w:rPr>
  </w:style>
  <w:style w:type="paragraph" w:styleId="TDC2">
    <w:name w:val="toc 2"/>
    <w:basedOn w:val="Normal"/>
    <w:next w:val="BPLLprrafo0"/>
    <w:uiPriority w:val="39"/>
    <w:semiHidden/>
    <w:rsid w:val="00F654C9"/>
    <w:pPr>
      <w:spacing w:before="280" w:after="140" w:line="290" w:lineRule="auto"/>
    </w:pPr>
    <w:rPr>
      <w:kern w:val="20"/>
    </w:rPr>
  </w:style>
  <w:style w:type="paragraph" w:styleId="TDC3">
    <w:name w:val="toc 3"/>
    <w:basedOn w:val="Normal"/>
    <w:next w:val="BPLLprrafo0"/>
    <w:uiPriority w:val="39"/>
    <w:semiHidden/>
    <w:rsid w:val="00F654C9"/>
    <w:pPr>
      <w:spacing w:before="280" w:after="140" w:line="290" w:lineRule="auto"/>
      <w:ind w:left="680"/>
    </w:pPr>
    <w:rPr>
      <w:kern w:val="20"/>
    </w:rPr>
  </w:style>
  <w:style w:type="paragraph" w:styleId="TDC4">
    <w:name w:val="toc 4"/>
    <w:basedOn w:val="Normal"/>
    <w:next w:val="BPLLprrafo0"/>
    <w:uiPriority w:val="39"/>
    <w:semiHidden/>
    <w:rsid w:val="00F654C9"/>
    <w:pPr>
      <w:spacing w:before="280" w:after="140" w:line="290" w:lineRule="auto"/>
      <w:ind w:left="680"/>
    </w:pPr>
    <w:rPr>
      <w:kern w:val="20"/>
    </w:rPr>
  </w:style>
  <w:style w:type="paragraph" w:styleId="TDC5">
    <w:name w:val="toc 5"/>
    <w:basedOn w:val="Normal"/>
    <w:next w:val="BPLLprrafo0"/>
    <w:semiHidden/>
    <w:rsid w:val="00F654C9"/>
  </w:style>
  <w:style w:type="paragraph" w:styleId="TDC6">
    <w:name w:val="toc 6"/>
    <w:basedOn w:val="Normal"/>
    <w:next w:val="BPLLprrafo0"/>
    <w:semiHidden/>
    <w:rsid w:val="00F654C9"/>
  </w:style>
  <w:style w:type="paragraph" w:styleId="TDC7">
    <w:name w:val="toc 7"/>
    <w:basedOn w:val="Normal"/>
    <w:next w:val="BPLLprrafo0"/>
    <w:semiHidden/>
    <w:rsid w:val="00F654C9"/>
  </w:style>
  <w:style w:type="paragraph" w:styleId="TDC8">
    <w:name w:val="toc 8"/>
    <w:basedOn w:val="Normal"/>
    <w:next w:val="BPLLprrafo0"/>
    <w:semiHidden/>
    <w:rsid w:val="00F654C9"/>
  </w:style>
  <w:style w:type="paragraph" w:styleId="TDC9">
    <w:name w:val="toc 9"/>
    <w:basedOn w:val="Normal"/>
    <w:next w:val="BPLLprrafo0"/>
    <w:semiHidden/>
    <w:rsid w:val="00F654C9"/>
  </w:style>
  <w:style w:type="paragraph" w:customStyle="1" w:styleId="ScheduleHeading">
    <w:name w:val="Schedule Heading"/>
    <w:basedOn w:val="BPLLprrafo0"/>
    <w:next w:val="BPLLprrafo0"/>
    <w:semiHidden/>
    <w:rsid w:val="00F654C9"/>
    <w:pPr>
      <w:keepNext/>
      <w:pageBreakBefore/>
      <w:numPr>
        <w:numId w:val="27"/>
      </w:numPr>
      <w:jc w:val="center"/>
      <w:outlineLvl w:val="3"/>
    </w:pPr>
    <w:rPr>
      <w:b/>
      <w:kern w:val="23"/>
      <w:sz w:val="23"/>
      <w:szCs w:val="23"/>
      <w:lang w:eastAsia="en-US"/>
    </w:rPr>
  </w:style>
  <w:style w:type="character" w:customStyle="1" w:styleId="TextonotapieCar">
    <w:name w:val="Texto nota pie Car"/>
    <w:aliases w:val="Texto nota pie Car2 Car,Texto nota pie Car Car1 Car,Texto nota pie Car1 Car Car Car,Texto nota pie Car Car Car Car Car,Texto nota pie Car1 Car1 Car,Texto nota pie Car Car Car1 Car, Char Car,Char Car,~FootnoteText Car"/>
    <w:basedOn w:val="Fuentedeprrafopredeter"/>
    <w:link w:val="Textonotapie"/>
    <w:uiPriority w:val="99"/>
    <w:rsid w:val="00B45B06"/>
    <w:rPr>
      <w:rFonts w:ascii="Times New Roman" w:hAnsi="Times New Roman"/>
      <w:kern w:val="20"/>
      <w:sz w:val="20"/>
      <w:szCs w:val="18"/>
      <w:lang w:val="es-ES"/>
    </w:rPr>
  </w:style>
  <w:style w:type="character" w:customStyle="1" w:styleId="APLLNivel0clusulaCar">
    <w:name w:val="A PLL Nivel 0 cláusula Car"/>
    <w:link w:val="APLLNivel0clusula"/>
    <w:semiHidden/>
    <w:locked/>
    <w:rsid w:val="00F654C9"/>
    <w:rPr>
      <w:rFonts w:ascii="Times New Roman" w:hAnsi="Times New Roman"/>
      <w:b/>
      <w:bCs/>
      <w:caps/>
      <w:kern w:val="20"/>
      <w:szCs w:val="32"/>
      <w:lang w:val="es-ES"/>
    </w:rPr>
  </w:style>
  <w:style w:type="character" w:customStyle="1" w:styleId="APLLNivel2subclusulaCar">
    <w:name w:val="A PLL Nivel 2 subcláusula Car"/>
    <w:link w:val="APLLNivel2subclusula"/>
    <w:locked/>
    <w:rsid w:val="00F654C9"/>
    <w:rPr>
      <w:rFonts w:ascii="Times New Roman" w:hAnsi="Times New Roman"/>
      <w:b/>
      <w:kern w:val="20"/>
      <w:szCs w:val="28"/>
      <w:lang w:val="es-ES"/>
    </w:rPr>
  </w:style>
  <w:style w:type="character" w:customStyle="1" w:styleId="BPLLprrafo0Car">
    <w:name w:val="B PLL párrafo 0 Car"/>
    <w:link w:val="BPLLprrafo0"/>
    <w:locked/>
    <w:rsid w:val="00F654C9"/>
    <w:rPr>
      <w:rFonts w:ascii="Times New Roman" w:hAnsi="Times New Roman" w:cs="Tahoma"/>
      <w:szCs w:val="21"/>
      <w:lang w:val="es-ES"/>
    </w:rPr>
  </w:style>
  <w:style w:type="character" w:customStyle="1" w:styleId="PLLTablaprrafoCar">
    <w:name w:val="PLL Tabla párrafo Car"/>
    <w:link w:val="PLLTablaprrafo"/>
    <w:rsid w:val="00F654C9"/>
    <w:rPr>
      <w:rFonts w:ascii="Times New Roman" w:hAnsi="Times New Roman"/>
      <w:kern w:val="20"/>
      <w:szCs w:val="20"/>
      <w:lang w:val="es-ES"/>
    </w:rPr>
  </w:style>
  <w:style w:type="table" w:styleId="Tablaconcuadrcula">
    <w:name w:val="Table Grid"/>
    <w:basedOn w:val="Tablanormal"/>
    <w:uiPriority w:val="59"/>
    <w:rsid w:val="00F654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semiHidden/>
    <w:rsid w:val="00F654C9"/>
    <w:rPr>
      <w:rFonts w:ascii="Tahoma" w:hAnsi="Tahoma" w:cs="Tahoma"/>
      <w:sz w:val="16"/>
      <w:szCs w:val="16"/>
    </w:rPr>
  </w:style>
  <w:style w:type="character" w:customStyle="1" w:styleId="TextodegloboCar">
    <w:name w:val="Texto de globo Car"/>
    <w:basedOn w:val="Fuentedeprrafopredeter"/>
    <w:link w:val="Textodeglobo"/>
    <w:semiHidden/>
    <w:rsid w:val="00F654C9"/>
    <w:rPr>
      <w:rFonts w:ascii="Tahoma" w:hAnsi="Tahoma" w:cs="Tahoma"/>
      <w:sz w:val="16"/>
      <w:szCs w:val="16"/>
      <w:lang w:val="es-ES"/>
    </w:rPr>
  </w:style>
  <w:style w:type="paragraph" w:customStyle="1" w:styleId="BPLLprrafo2">
    <w:name w:val="B PLL párrafo 2"/>
    <w:basedOn w:val="BPLLprrafo3"/>
    <w:qFormat/>
    <w:rsid w:val="00F654C9"/>
    <w:pPr>
      <w:ind w:left="709"/>
    </w:pPr>
  </w:style>
  <w:style w:type="paragraph" w:customStyle="1" w:styleId="PLLalpha2">
    <w:name w:val="PLL alpha 2"/>
    <w:basedOn w:val="PLLalpha1"/>
    <w:rsid w:val="00F654C9"/>
  </w:style>
  <w:style w:type="paragraph" w:customStyle="1" w:styleId="PLLbullet2">
    <w:name w:val="PLL bullet 2"/>
    <w:basedOn w:val="PLLbullet1"/>
    <w:rsid w:val="00F654C9"/>
    <w:pPr>
      <w:tabs>
        <w:tab w:val="clear" w:pos="680"/>
        <w:tab w:val="num" w:pos="709"/>
      </w:tabs>
    </w:pPr>
  </w:style>
  <w:style w:type="paragraph" w:customStyle="1" w:styleId="PLLguion2">
    <w:name w:val="PLL guion 2"/>
    <w:basedOn w:val="PLLguion1"/>
    <w:rsid w:val="00F654C9"/>
  </w:style>
  <w:style w:type="paragraph" w:customStyle="1" w:styleId="PLLroman2">
    <w:name w:val="PLL roman 2"/>
    <w:basedOn w:val="PLLroman1"/>
    <w:rsid w:val="00F654C9"/>
    <w:pPr>
      <w:numPr>
        <w:ilvl w:val="1"/>
      </w:numPr>
    </w:pPr>
  </w:style>
  <w:style w:type="paragraph" w:customStyle="1" w:styleId="PLLAlphaMAY2">
    <w:name w:val="PLL AlphaMAY 2"/>
    <w:basedOn w:val="DPLLAlphaMAY"/>
    <w:rsid w:val="00F654C9"/>
  </w:style>
  <w:style w:type="character" w:styleId="nfasis">
    <w:name w:val="Emphasis"/>
    <w:basedOn w:val="Fuentedeprrafopredeter"/>
    <w:uiPriority w:val="29"/>
    <w:semiHidden/>
    <w:rsid w:val="00F654C9"/>
    <w:rPr>
      <w:i/>
      <w:iCs/>
    </w:rPr>
  </w:style>
  <w:style w:type="character" w:styleId="nfasissutil">
    <w:name w:val="Subtle Emphasis"/>
    <w:basedOn w:val="Fuentedeprrafopredeter"/>
    <w:uiPriority w:val="29"/>
    <w:semiHidden/>
    <w:rsid w:val="00F654C9"/>
    <w:rPr>
      <w:i/>
      <w:iCs/>
      <w:color w:val="404040" w:themeColor="text1" w:themeTint="BF"/>
    </w:rPr>
  </w:style>
  <w:style w:type="paragraph" w:customStyle="1" w:styleId="APLLNivel3">
    <w:name w:val="A PLL Nivel 3"/>
    <w:basedOn w:val="PLLtabla3"/>
    <w:next w:val="BPLLprrafo3"/>
    <w:qFormat/>
    <w:rsid w:val="00F654C9"/>
    <w:pPr>
      <w:numPr>
        <w:numId w:val="40"/>
      </w:numPr>
      <w:spacing w:before="0" w:after="200" w:line="276" w:lineRule="auto"/>
    </w:pPr>
  </w:style>
  <w:style w:type="paragraph" w:customStyle="1" w:styleId="PLLPrrafo">
    <w:name w:val="PLL Párrafo"/>
    <w:basedOn w:val="Normal"/>
    <w:link w:val="PLLPrrafoCar"/>
    <w:semiHidden/>
    <w:qFormat/>
    <w:rsid w:val="00F654C9"/>
    <w:rPr>
      <w:rFonts w:cs="Tahoma"/>
      <w:szCs w:val="21"/>
    </w:rPr>
  </w:style>
  <w:style w:type="character" w:customStyle="1" w:styleId="PLLPrrafoCar">
    <w:name w:val="PLL Párrafo Car"/>
    <w:basedOn w:val="Fuentedeprrafopredeter"/>
    <w:link w:val="PLLPrrafo"/>
    <w:semiHidden/>
    <w:rsid w:val="00F654C9"/>
    <w:rPr>
      <w:rFonts w:ascii="Times New Roman" w:hAnsi="Times New Roman" w:cs="Tahoma"/>
      <w:szCs w:val="21"/>
      <w:lang w:val="es-ES"/>
    </w:rPr>
  </w:style>
  <w:style w:type="paragraph" w:customStyle="1" w:styleId="PLLPartes">
    <w:name w:val="PLL Partes"/>
    <w:basedOn w:val="Normal"/>
    <w:link w:val="PLLPartesCar"/>
    <w:semiHidden/>
    <w:qFormat/>
    <w:rsid w:val="002C1D5B"/>
    <w:pPr>
      <w:ind w:left="992" w:hanging="992"/>
    </w:pPr>
    <w:rPr>
      <w:rFonts w:cs="Tahoma"/>
      <w:szCs w:val="21"/>
    </w:rPr>
  </w:style>
  <w:style w:type="character" w:customStyle="1" w:styleId="PLLPartesCar">
    <w:name w:val="PLL Partes Car"/>
    <w:basedOn w:val="Fuentedeprrafopredeter"/>
    <w:link w:val="PLLPartes"/>
    <w:semiHidden/>
    <w:rsid w:val="00F654C9"/>
    <w:rPr>
      <w:rFonts w:ascii="Times New Roman" w:hAnsi="Times New Roman" w:cs="Tahoma"/>
      <w:szCs w:val="21"/>
      <w:lang w:val="es-ES"/>
    </w:rPr>
  </w:style>
  <w:style w:type="paragraph" w:customStyle="1" w:styleId="PLLExpositivos">
    <w:name w:val="PLL Expositivos"/>
    <w:basedOn w:val="Normal"/>
    <w:link w:val="PLLExpositivosCar"/>
    <w:semiHidden/>
    <w:qFormat/>
    <w:rsid w:val="002C1D5B"/>
    <w:pPr>
      <w:ind w:left="992" w:hanging="992"/>
    </w:pPr>
    <w:rPr>
      <w:rFonts w:cs="Tahoma"/>
      <w:szCs w:val="21"/>
    </w:rPr>
  </w:style>
  <w:style w:type="character" w:customStyle="1" w:styleId="PLLExpositivosCar">
    <w:name w:val="PLL Expositivos Car"/>
    <w:basedOn w:val="PLLPrrafoCar"/>
    <w:link w:val="PLLExpositivos"/>
    <w:semiHidden/>
    <w:rsid w:val="00F654C9"/>
    <w:rPr>
      <w:rFonts w:ascii="Times New Roman" w:hAnsi="Times New Roman" w:cs="Tahoma"/>
      <w:szCs w:val="21"/>
      <w:lang w:val="es-ES"/>
    </w:rPr>
  </w:style>
  <w:style w:type="paragraph" w:customStyle="1" w:styleId="APLLNivel1CLUSULA">
    <w:name w:val="A PLL Nivel 1 CLÁUSULA"/>
    <w:basedOn w:val="Normal"/>
    <w:next w:val="BPLLprrafo1"/>
    <w:link w:val="APLLNivel1CLUSULACar"/>
    <w:qFormat/>
    <w:rsid w:val="00F654C9"/>
    <w:pPr>
      <w:keepNext/>
      <w:keepLines/>
      <w:widowControl w:val="0"/>
      <w:numPr>
        <w:numId w:val="40"/>
      </w:numPr>
      <w:jc w:val="both"/>
      <w:outlineLvl w:val="1"/>
    </w:pPr>
    <w:rPr>
      <w:rFonts w:cs="Tahoma"/>
      <w:b/>
      <w:caps/>
      <w:szCs w:val="21"/>
    </w:rPr>
  </w:style>
  <w:style w:type="character" w:customStyle="1" w:styleId="APLLNivel1CLUSULACar">
    <w:name w:val="A PLL Nivel 1 CLÁUSULA Car"/>
    <w:basedOn w:val="Fuentedeprrafopredeter"/>
    <w:link w:val="APLLNivel1CLUSULA"/>
    <w:rsid w:val="00F654C9"/>
    <w:rPr>
      <w:rFonts w:ascii="Times New Roman" w:hAnsi="Times New Roman" w:cs="Tahoma"/>
      <w:b/>
      <w:caps/>
      <w:szCs w:val="21"/>
      <w:lang w:val="es-ES"/>
    </w:rPr>
  </w:style>
  <w:style w:type="paragraph" w:customStyle="1" w:styleId="PLLNivel2">
    <w:name w:val="PLL Nivel 2"/>
    <w:basedOn w:val="Ttulo"/>
    <w:next w:val="PLLPrrafo"/>
    <w:link w:val="PLLNivel2Car"/>
    <w:semiHidden/>
    <w:qFormat/>
    <w:rsid w:val="00F654C9"/>
    <w:pPr>
      <w:keepNext w:val="0"/>
      <w:numPr>
        <w:ilvl w:val="2"/>
        <w:numId w:val="32"/>
      </w:numPr>
      <w:outlineLvl w:val="2"/>
    </w:pPr>
    <w:rPr>
      <w:rFonts w:asciiTheme="majorHAnsi" w:hAnsiTheme="majorHAnsi"/>
      <w:bCs/>
      <w:caps w:val="0"/>
      <w:sz w:val="22"/>
    </w:rPr>
  </w:style>
  <w:style w:type="character" w:customStyle="1" w:styleId="PLLNivel2Car">
    <w:name w:val="PLL Nivel 2 Car"/>
    <w:basedOn w:val="Fuentedeprrafopredeter"/>
    <w:link w:val="PLLNivel2"/>
    <w:semiHidden/>
    <w:rsid w:val="00F654C9"/>
    <w:rPr>
      <w:rFonts w:asciiTheme="majorHAnsi" w:hAnsiTheme="majorHAnsi" w:cs="Tahoma"/>
      <w:b/>
      <w:bCs/>
      <w:szCs w:val="24"/>
      <w:lang w:val="es-ES"/>
    </w:rPr>
  </w:style>
  <w:style w:type="paragraph" w:customStyle="1" w:styleId="PLLPrrafo4">
    <w:name w:val="PLL Párrafo 4"/>
    <w:basedOn w:val="Normal"/>
    <w:link w:val="PLLPrrafo4Car"/>
    <w:semiHidden/>
    <w:qFormat/>
    <w:rsid w:val="00F654C9"/>
    <w:pPr>
      <w:ind w:left="1843"/>
    </w:pPr>
    <w:rPr>
      <w:rFonts w:cs="Tahoma"/>
      <w:noProof/>
      <w:szCs w:val="21"/>
    </w:rPr>
  </w:style>
  <w:style w:type="character" w:customStyle="1" w:styleId="PLLPrrafo4Car">
    <w:name w:val="PLL Párrafo 4 Car"/>
    <w:basedOn w:val="PLLPrrafo3Car"/>
    <w:link w:val="PLLPrrafo4"/>
    <w:semiHidden/>
    <w:rsid w:val="00F654C9"/>
    <w:rPr>
      <w:rFonts w:ascii="Times New Roman" w:hAnsi="Times New Roman" w:cs="Tahoma"/>
      <w:noProof/>
      <w:szCs w:val="21"/>
      <w:lang w:val="es-ES"/>
    </w:rPr>
  </w:style>
  <w:style w:type="paragraph" w:customStyle="1" w:styleId="PLLPrrafo6">
    <w:name w:val="PLL Párrafo 6"/>
    <w:basedOn w:val="Normal"/>
    <w:link w:val="PLLPrrafo6Car"/>
    <w:semiHidden/>
    <w:qFormat/>
    <w:rsid w:val="00F654C9"/>
    <w:pPr>
      <w:ind w:left="2977"/>
    </w:pPr>
  </w:style>
  <w:style w:type="character" w:customStyle="1" w:styleId="PLLPrrafo6Car">
    <w:name w:val="PLL Párrafo 6 Car"/>
    <w:basedOn w:val="Fuentedeprrafopredeter"/>
    <w:link w:val="PLLPrrafo6"/>
    <w:semiHidden/>
    <w:rsid w:val="00F654C9"/>
    <w:rPr>
      <w:rFonts w:ascii="Times New Roman" w:hAnsi="Times New Roman"/>
      <w:lang w:val="es-ES"/>
    </w:rPr>
  </w:style>
  <w:style w:type="paragraph" w:customStyle="1" w:styleId="PLLNivel3">
    <w:name w:val="PLL Nivel 3"/>
    <w:basedOn w:val="Ttulo"/>
    <w:next w:val="PLLPrrafo3"/>
    <w:link w:val="PLLNivel3Car"/>
    <w:semiHidden/>
    <w:qFormat/>
    <w:rsid w:val="00F654C9"/>
    <w:pPr>
      <w:keepNext w:val="0"/>
      <w:numPr>
        <w:ilvl w:val="3"/>
        <w:numId w:val="32"/>
      </w:numPr>
      <w:outlineLvl w:val="3"/>
    </w:pPr>
    <w:rPr>
      <w:rFonts w:asciiTheme="majorHAnsi" w:hAnsiTheme="majorHAnsi"/>
      <w:b w:val="0"/>
      <w:bCs/>
      <w:caps w:val="0"/>
      <w:sz w:val="22"/>
      <w:szCs w:val="21"/>
    </w:rPr>
  </w:style>
  <w:style w:type="character" w:customStyle="1" w:styleId="PLLNivel3Car">
    <w:name w:val="PLL Nivel 3 Car"/>
    <w:basedOn w:val="PLLNivel2Car"/>
    <w:link w:val="PLLNivel3"/>
    <w:semiHidden/>
    <w:rsid w:val="00F654C9"/>
    <w:rPr>
      <w:rFonts w:asciiTheme="majorHAnsi" w:hAnsiTheme="majorHAnsi" w:cs="Tahoma"/>
      <w:b w:val="0"/>
      <w:bCs/>
      <w:szCs w:val="21"/>
      <w:lang w:val="es-ES"/>
    </w:rPr>
  </w:style>
  <w:style w:type="character" w:customStyle="1" w:styleId="PLLNegrita">
    <w:name w:val="PLL Negrita"/>
    <w:basedOn w:val="Fuentedeprrafopredeter"/>
    <w:uiPriority w:val="1"/>
    <w:semiHidden/>
    <w:qFormat/>
    <w:rsid w:val="00F654C9"/>
    <w:rPr>
      <w:b/>
      <w:bCs/>
    </w:rPr>
  </w:style>
  <w:style w:type="paragraph" w:customStyle="1" w:styleId="APLLNivel5lista">
    <w:name w:val="A PLL Nivel 5 lista"/>
    <w:basedOn w:val="Normal"/>
    <w:next w:val="BPLLprrafo5"/>
    <w:link w:val="APLLNivel5listaCar"/>
    <w:qFormat/>
    <w:rsid w:val="00F654C9"/>
    <w:pPr>
      <w:numPr>
        <w:ilvl w:val="5"/>
        <w:numId w:val="40"/>
      </w:numPr>
      <w:jc w:val="both"/>
    </w:pPr>
  </w:style>
  <w:style w:type="character" w:customStyle="1" w:styleId="APLLNivel5listaCar">
    <w:name w:val="A PLL Nivel 5 lista Car"/>
    <w:basedOn w:val="Fuentedeprrafopredeter"/>
    <w:link w:val="APLLNivel5lista"/>
    <w:rsid w:val="00F654C9"/>
    <w:rPr>
      <w:rFonts w:ascii="Times New Roman" w:hAnsi="Times New Roman"/>
      <w:lang w:val="es-ES"/>
    </w:rPr>
  </w:style>
  <w:style w:type="paragraph" w:customStyle="1" w:styleId="APLLNivel4lista">
    <w:name w:val="A PLL Nivel 4 lista"/>
    <w:basedOn w:val="APLLNivel5lista"/>
    <w:next w:val="BPLLprrafo4"/>
    <w:link w:val="APLLNivel4listaCar"/>
    <w:qFormat/>
    <w:rsid w:val="00F654C9"/>
    <w:pPr>
      <w:numPr>
        <w:ilvl w:val="4"/>
      </w:numPr>
    </w:pPr>
  </w:style>
  <w:style w:type="character" w:customStyle="1" w:styleId="APLLNivel4listaCar">
    <w:name w:val="A PLL Nivel 4 lista Car"/>
    <w:basedOn w:val="Fuentedeprrafopredeter"/>
    <w:link w:val="APLLNivel4lista"/>
    <w:rsid w:val="00F654C9"/>
    <w:rPr>
      <w:rFonts w:ascii="Times New Roman" w:hAnsi="Times New Roman"/>
      <w:lang w:val="es-ES"/>
    </w:rPr>
  </w:style>
  <w:style w:type="paragraph" w:customStyle="1" w:styleId="PLLPrrafo3">
    <w:name w:val="PLL Párrafo 3"/>
    <w:basedOn w:val="Normal"/>
    <w:link w:val="PLLPrrafo3Car"/>
    <w:semiHidden/>
    <w:qFormat/>
    <w:rsid w:val="00F654C9"/>
    <w:pPr>
      <w:ind w:left="992"/>
    </w:pPr>
    <w:rPr>
      <w:rFonts w:cs="Tahoma"/>
      <w:szCs w:val="21"/>
    </w:rPr>
  </w:style>
  <w:style w:type="character" w:customStyle="1" w:styleId="PLLPrrafo3Car">
    <w:name w:val="PLL Párrafo 3 Car"/>
    <w:basedOn w:val="Fuentedeprrafopredeter"/>
    <w:link w:val="PLLPrrafo3"/>
    <w:semiHidden/>
    <w:rsid w:val="00F654C9"/>
    <w:rPr>
      <w:rFonts w:ascii="Times New Roman" w:hAnsi="Times New Roman" w:cs="Tahoma"/>
      <w:szCs w:val="21"/>
      <w:lang w:val="es-ES"/>
    </w:rPr>
  </w:style>
  <w:style w:type="paragraph" w:customStyle="1" w:styleId="PLLAnexo">
    <w:name w:val="PLL Anexo"/>
    <w:basedOn w:val="Ttulo"/>
    <w:next w:val="PLLPrrafo"/>
    <w:link w:val="PLLAnexoCar"/>
    <w:semiHidden/>
    <w:qFormat/>
    <w:rsid w:val="00F654C9"/>
    <w:pPr>
      <w:numPr>
        <w:numId w:val="33"/>
      </w:numPr>
      <w:spacing w:after="360"/>
    </w:pPr>
    <w:rPr>
      <w:bCs/>
      <w:caps w:val="0"/>
      <w:sz w:val="22"/>
      <w:szCs w:val="21"/>
    </w:rPr>
  </w:style>
  <w:style w:type="character" w:customStyle="1" w:styleId="PLLAnexoCar">
    <w:name w:val="PLL Anexo Car"/>
    <w:basedOn w:val="Fuentedeprrafopredeter"/>
    <w:link w:val="PLLAnexo"/>
    <w:semiHidden/>
    <w:rsid w:val="00F654C9"/>
    <w:rPr>
      <w:rFonts w:ascii="Times New Roman" w:hAnsi="Times New Roman" w:cs="Tahoma"/>
      <w:b/>
      <w:bCs/>
      <w:szCs w:val="21"/>
      <w:lang w:val="es-ES"/>
    </w:rPr>
  </w:style>
  <w:style w:type="paragraph" w:customStyle="1" w:styleId="APLLnivel6lista">
    <w:name w:val="A PLL nivel 6 lista"/>
    <w:basedOn w:val="PLLLista7"/>
    <w:next w:val="BPLLprrafo6"/>
    <w:link w:val="APLLnivel6listaCar"/>
    <w:qFormat/>
    <w:rsid w:val="00F654C9"/>
    <w:pPr>
      <w:numPr>
        <w:ilvl w:val="6"/>
        <w:numId w:val="40"/>
      </w:numPr>
    </w:pPr>
  </w:style>
  <w:style w:type="character" w:customStyle="1" w:styleId="APLLnivel6listaCar">
    <w:name w:val="A PLL nivel 6 lista Car"/>
    <w:basedOn w:val="Fuentedeprrafopredeter"/>
    <w:link w:val="APLLnivel6lista"/>
    <w:rsid w:val="00F654C9"/>
    <w:rPr>
      <w:rFonts w:ascii="Times New Roman" w:hAnsi="Times New Roman"/>
      <w:lang w:val="es-ES"/>
    </w:rPr>
  </w:style>
  <w:style w:type="paragraph" w:customStyle="1" w:styleId="PLLLista7">
    <w:name w:val="PLL Lista7"/>
    <w:basedOn w:val="Normal"/>
    <w:link w:val="PLLLista7Car"/>
    <w:semiHidden/>
    <w:qFormat/>
    <w:rsid w:val="002C1D5B"/>
    <w:pPr>
      <w:ind w:left="3402" w:hanging="425"/>
      <w:jc w:val="both"/>
    </w:pPr>
  </w:style>
  <w:style w:type="character" w:customStyle="1" w:styleId="PLLLista7Car">
    <w:name w:val="PLL Lista7 Car"/>
    <w:basedOn w:val="Fuentedeprrafopredeter"/>
    <w:link w:val="PLLLista7"/>
    <w:semiHidden/>
    <w:rsid w:val="00F654C9"/>
    <w:rPr>
      <w:rFonts w:ascii="Times New Roman" w:hAnsi="Times New Roman"/>
      <w:lang w:val="es-ES"/>
    </w:rPr>
  </w:style>
  <w:style w:type="paragraph" w:customStyle="1" w:styleId="PLLPrrafo7">
    <w:name w:val="PLL Párrafo 7"/>
    <w:basedOn w:val="Normal"/>
    <w:link w:val="PLLPrrafo7Car"/>
    <w:semiHidden/>
    <w:qFormat/>
    <w:rsid w:val="00F654C9"/>
    <w:pPr>
      <w:ind w:left="3402"/>
    </w:pPr>
    <w:rPr>
      <w:rFonts w:cs="Tahoma"/>
      <w:szCs w:val="21"/>
    </w:rPr>
  </w:style>
  <w:style w:type="character" w:customStyle="1" w:styleId="PLLPrrafo7Car">
    <w:name w:val="PLL Párrafo 7 Car"/>
    <w:basedOn w:val="PLLPrrafo3Car"/>
    <w:link w:val="PLLPrrafo7"/>
    <w:semiHidden/>
    <w:rsid w:val="00F654C9"/>
    <w:rPr>
      <w:rFonts w:ascii="Times New Roman" w:hAnsi="Times New Roman" w:cs="Tahoma"/>
      <w:szCs w:val="21"/>
      <w:lang w:val="es-ES"/>
    </w:rPr>
  </w:style>
  <w:style w:type="paragraph" w:customStyle="1" w:styleId="zPLLImagen">
    <w:name w:val="z PLL Imagen"/>
    <w:basedOn w:val="Normal"/>
    <w:next w:val="PLLDescripcin"/>
    <w:rsid w:val="00A122EB"/>
    <w:pPr>
      <w:keepNext/>
      <w:widowControl w:val="0"/>
      <w:jc w:val="center"/>
    </w:pPr>
  </w:style>
  <w:style w:type="paragraph" w:customStyle="1" w:styleId="PLLDescripcin">
    <w:name w:val="PLL Descripción"/>
    <w:basedOn w:val="Normal"/>
    <w:link w:val="PLLDescripcinCar"/>
    <w:semiHidden/>
    <w:qFormat/>
    <w:rsid w:val="00F654C9"/>
    <w:pPr>
      <w:spacing w:line="240" w:lineRule="auto"/>
      <w:jc w:val="center"/>
    </w:pPr>
    <w:rPr>
      <w:i/>
      <w:iCs/>
      <w:sz w:val="18"/>
      <w:szCs w:val="18"/>
    </w:rPr>
  </w:style>
  <w:style w:type="character" w:customStyle="1" w:styleId="PLLDescripcinCar">
    <w:name w:val="PLL Descripción Car"/>
    <w:basedOn w:val="Fuentedeprrafopredeter"/>
    <w:link w:val="PLLDescripcin"/>
    <w:semiHidden/>
    <w:rsid w:val="00F654C9"/>
    <w:rPr>
      <w:rFonts w:ascii="Times New Roman" w:hAnsi="Times New Roman"/>
      <w:i/>
      <w:iCs/>
      <w:sz w:val="18"/>
      <w:szCs w:val="18"/>
      <w:lang w:val="es-ES"/>
    </w:rPr>
  </w:style>
  <w:style w:type="paragraph" w:customStyle="1" w:styleId="FPLLCita">
    <w:name w:val="F PLL Cita"/>
    <w:basedOn w:val="Normal"/>
    <w:next w:val="PLLPrrafo"/>
    <w:link w:val="FPLLCitaCar"/>
    <w:qFormat/>
    <w:rsid w:val="00F654C9"/>
    <w:pPr>
      <w:ind w:left="709" w:right="567"/>
      <w:jc w:val="both"/>
    </w:pPr>
    <w:rPr>
      <w:i/>
      <w:iCs/>
    </w:rPr>
  </w:style>
  <w:style w:type="character" w:customStyle="1" w:styleId="FPLLCitaCar">
    <w:name w:val="F PLL Cita Car"/>
    <w:basedOn w:val="Fuentedeprrafopredeter"/>
    <w:link w:val="FPLLCita"/>
    <w:rsid w:val="00F654C9"/>
    <w:rPr>
      <w:rFonts w:ascii="Times New Roman" w:hAnsi="Times New Roman"/>
      <w:i/>
      <w:iCs/>
      <w:lang w:val="es-ES"/>
    </w:rPr>
  </w:style>
  <w:style w:type="paragraph" w:customStyle="1" w:styleId="PLLAlfaM">
    <w:name w:val="PLL AlfaM"/>
    <w:basedOn w:val="Normal"/>
    <w:next w:val="PLLPrrafo"/>
    <w:link w:val="PLLAlfaMCar"/>
    <w:semiHidden/>
    <w:qFormat/>
    <w:rsid w:val="002C1D5B"/>
    <w:pPr>
      <w:ind w:hanging="567"/>
    </w:pPr>
    <w:rPr>
      <w:rFonts w:cs="Tahoma"/>
      <w:b/>
      <w:szCs w:val="21"/>
    </w:rPr>
  </w:style>
  <w:style w:type="character" w:customStyle="1" w:styleId="PLLAlfaMCar">
    <w:name w:val="PLL AlfaM Car"/>
    <w:basedOn w:val="PLLNivel3Car"/>
    <w:link w:val="PLLAlfaM"/>
    <w:semiHidden/>
    <w:rsid w:val="00F654C9"/>
    <w:rPr>
      <w:rFonts w:ascii="Times New Roman" w:hAnsi="Times New Roman" w:cs="Tahoma"/>
      <w:b/>
      <w:bCs w:val="0"/>
      <w:szCs w:val="21"/>
      <w:lang w:val="es-ES"/>
    </w:rPr>
  </w:style>
  <w:style w:type="paragraph" w:customStyle="1" w:styleId="PLLPrrafo8">
    <w:name w:val="PLL Párrafo 8"/>
    <w:basedOn w:val="Normal"/>
    <w:link w:val="PLLPrrafo8Car"/>
    <w:semiHidden/>
    <w:qFormat/>
    <w:rsid w:val="00F654C9"/>
    <w:pPr>
      <w:ind w:left="3827"/>
    </w:pPr>
  </w:style>
  <w:style w:type="character" w:customStyle="1" w:styleId="PLLPrrafo8Car">
    <w:name w:val="PLL Párrafo 8 Car"/>
    <w:basedOn w:val="Fuentedeprrafopredeter"/>
    <w:link w:val="PLLPrrafo8"/>
    <w:semiHidden/>
    <w:rsid w:val="00F654C9"/>
    <w:rPr>
      <w:rFonts w:ascii="Times New Roman" w:hAnsi="Times New Roman"/>
      <w:lang w:val="es-ES"/>
    </w:rPr>
  </w:style>
  <w:style w:type="paragraph" w:customStyle="1" w:styleId="PLLNum">
    <w:name w:val="PLL Num"/>
    <w:basedOn w:val="Normal"/>
    <w:link w:val="PLLNumCar"/>
    <w:semiHidden/>
    <w:qFormat/>
    <w:rsid w:val="002C1D5B"/>
    <w:pPr>
      <w:ind w:hanging="567"/>
    </w:pPr>
  </w:style>
  <w:style w:type="character" w:customStyle="1" w:styleId="PLLNumCar">
    <w:name w:val="PLL Num Car"/>
    <w:basedOn w:val="Fuentedeprrafopredeter"/>
    <w:link w:val="PLLNum"/>
    <w:semiHidden/>
    <w:rsid w:val="00F654C9"/>
    <w:rPr>
      <w:rFonts w:ascii="Times New Roman" w:hAnsi="Times New Roman"/>
      <w:lang w:val="es-ES"/>
    </w:rPr>
  </w:style>
  <w:style w:type="paragraph" w:customStyle="1" w:styleId="PLLRomanM">
    <w:name w:val="PLL RomanM"/>
    <w:basedOn w:val="Normal"/>
    <w:next w:val="PLLPrrafo"/>
    <w:link w:val="PLLRomanMCar"/>
    <w:semiHidden/>
    <w:qFormat/>
    <w:rsid w:val="002C1D5B"/>
    <w:pPr>
      <w:ind w:hanging="567"/>
    </w:pPr>
    <w:rPr>
      <w:b/>
    </w:rPr>
  </w:style>
  <w:style w:type="character" w:customStyle="1" w:styleId="PLLRomanMCar">
    <w:name w:val="PLL RomanM Car"/>
    <w:basedOn w:val="Fuentedeprrafopredeter"/>
    <w:link w:val="PLLRomanM"/>
    <w:semiHidden/>
    <w:rsid w:val="00F654C9"/>
    <w:rPr>
      <w:rFonts w:ascii="Times New Roman" w:hAnsi="Times New Roman"/>
      <w:b/>
      <w:lang w:val="es-ES"/>
    </w:rPr>
  </w:style>
  <w:style w:type="character" w:customStyle="1" w:styleId="PLLMays">
    <w:name w:val="PLL Mayús"/>
    <w:basedOn w:val="Fuentedeprrafopredeter"/>
    <w:uiPriority w:val="1"/>
    <w:semiHidden/>
    <w:qFormat/>
    <w:rsid w:val="00F654C9"/>
    <w:rPr>
      <w:caps/>
      <w:smallCaps w:val="0"/>
    </w:rPr>
  </w:style>
  <w:style w:type="character" w:customStyle="1" w:styleId="PLLMaysNeg">
    <w:name w:val="PLL Mayús+Neg"/>
    <w:basedOn w:val="Fuentedeprrafopredeter"/>
    <w:uiPriority w:val="1"/>
    <w:semiHidden/>
    <w:qFormat/>
    <w:rsid w:val="00F654C9"/>
    <w:rPr>
      <w:b/>
      <w:caps/>
      <w:smallCaps w:val="0"/>
    </w:rPr>
  </w:style>
  <w:style w:type="paragraph" w:customStyle="1" w:styleId="PLLCentrado">
    <w:name w:val="PLL Centrado"/>
    <w:basedOn w:val="Normal"/>
    <w:next w:val="PLLPrrafo"/>
    <w:link w:val="PLLCentradoCar"/>
    <w:qFormat/>
    <w:rsid w:val="00F654C9"/>
    <w:pPr>
      <w:keepNext/>
      <w:jc w:val="center"/>
    </w:pPr>
    <w:rPr>
      <w:rFonts w:cs="Tahoma"/>
      <w:szCs w:val="21"/>
    </w:rPr>
  </w:style>
  <w:style w:type="character" w:customStyle="1" w:styleId="PLLCentradoCar">
    <w:name w:val="PLL Centrado Car"/>
    <w:basedOn w:val="PLLPrrafoCar"/>
    <w:link w:val="PLLCentrado"/>
    <w:rsid w:val="00F654C9"/>
    <w:rPr>
      <w:rFonts w:ascii="Times New Roman" w:hAnsi="Times New Roman" w:cs="Tahoma"/>
      <w:szCs w:val="21"/>
      <w:lang w:val="es-ES"/>
    </w:rPr>
  </w:style>
  <w:style w:type="paragraph" w:customStyle="1" w:styleId="APLLNivel3lista">
    <w:name w:val="A PLL Nivel 3 lista"/>
    <w:basedOn w:val="APLLNivel4lista"/>
    <w:next w:val="BPLLprrafo3"/>
    <w:link w:val="APLLNivel3listaCar"/>
    <w:qFormat/>
    <w:rsid w:val="00F654C9"/>
    <w:pPr>
      <w:numPr>
        <w:ilvl w:val="3"/>
      </w:numPr>
    </w:pPr>
  </w:style>
  <w:style w:type="character" w:customStyle="1" w:styleId="APLLNivel3listaCar">
    <w:name w:val="A PLL Nivel 3 lista Car"/>
    <w:basedOn w:val="Fuentedeprrafopredeter"/>
    <w:link w:val="APLLNivel3lista"/>
    <w:rsid w:val="00F654C9"/>
    <w:rPr>
      <w:rFonts w:ascii="Times New Roman" w:hAnsi="Times New Roman"/>
      <w:lang w:val="es-ES"/>
    </w:rPr>
  </w:style>
  <w:style w:type="paragraph" w:customStyle="1" w:styleId="PLLLista8">
    <w:name w:val="PLL Lista8"/>
    <w:basedOn w:val="Normal"/>
    <w:link w:val="PLLLista8Car"/>
    <w:semiHidden/>
    <w:qFormat/>
    <w:rsid w:val="002C1D5B"/>
    <w:pPr>
      <w:numPr>
        <w:numId w:val="34"/>
      </w:numPr>
    </w:pPr>
  </w:style>
  <w:style w:type="character" w:customStyle="1" w:styleId="PLLLista8Car">
    <w:name w:val="PLL Lista8 Car"/>
    <w:basedOn w:val="Fuentedeprrafopredeter"/>
    <w:link w:val="PLLLista8"/>
    <w:semiHidden/>
    <w:rsid w:val="00F654C9"/>
    <w:rPr>
      <w:rFonts w:ascii="Times New Roman" w:hAnsi="Times New Roman"/>
      <w:lang w:val="es-ES"/>
    </w:rPr>
  </w:style>
  <w:style w:type="paragraph" w:customStyle="1" w:styleId="EPLLencabezadosubr">
    <w:name w:val="E PLL encabezado subr"/>
    <w:basedOn w:val="EPLLencabezado3"/>
    <w:next w:val="Normal"/>
    <w:link w:val="EPLLencabezadosubrCar"/>
    <w:qFormat/>
    <w:rsid w:val="00F654C9"/>
    <w:pPr>
      <w:ind w:left="0"/>
    </w:pPr>
    <w:rPr>
      <w:i/>
      <w:noProof/>
      <w:u w:val="single"/>
    </w:rPr>
  </w:style>
  <w:style w:type="character" w:customStyle="1" w:styleId="EPLLencabezadosubrCar">
    <w:name w:val="E PLL encabezado subr Car"/>
    <w:basedOn w:val="Fuentedeprrafopredeter"/>
    <w:link w:val="EPLLencabezadosubr"/>
    <w:rsid w:val="00F654C9"/>
    <w:rPr>
      <w:rFonts w:ascii="Times New Roman" w:hAnsi="Times New Roman"/>
      <w:b/>
      <w:i/>
      <w:noProof/>
      <w:kern w:val="23"/>
      <w:sz w:val="24"/>
      <w:szCs w:val="27"/>
      <w:u w:val="single"/>
      <w:lang w:val="es-ES"/>
    </w:rPr>
  </w:style>
  <w:style w:type="paragraph" w:customStyle="1" w:styleId="PLLPrrafo5">
    <w:name w:val="PLL Párrafo 5"/>
    <w:basedOn w:val="Normal"/>
    <w:link w:val="PLLPrrafo5Car"/>
    <w:semiHidden/>
    <w:qFormat/>
    <w:rsid w:val="00F654C9"/>
    <w:pPr>
      <w:ind w:left="2268"/>
    </w:pPr>
  </w:style>
  <w:style w:type="character" w:customStyle="1" w:styleId="PLLPrrafo5Car">
    <w:name w:val="PLL Párrafo 5 Car"/>
    <w:basedOn w:val="Fuentedeprrafopredeter"/>
    <w:link w:val="PLLPrrafo5"/>
    <w:semiHidden/>
    <w:rsid w:val="00F654C9"/>
    <w:rPr>
      <w:rFonts w:ascii="Times New Roman" w:hAnsi="Times New Roman"/>
      <w:lang w:val="es-ES"/>
    </w:rPr>
  </w:style>
  <w:style w:type="character" w:customStyle="1" w:styleId="zPLLHorizontal">
    <w:name w:val="z PLL Horizontal"/>
    <w:basedOn w:val="Fuentedeprrafopredeter"/>
    <w:uiPriority w:val="1"/>
    <w:rsid w:val="00F654C9"/>
    <w:rPr>
      <w:sz w:val="2"/>
    </w:rPr>
  </w:style>
  <w:style w:type="paragraph" w:customStyle="1" w:styleId="PLLNivel2notdc">
    <w:name w:val="PLL Nivel 2 notdc"/>
    <w:basedOn w:val="PLLNivel2"/>
    <w:link w:val="PLLNivel2notdcCar"/>
    <w:semiHidden/>
    <w:qFormat/>
    <w:rsid w:val="00F654C9"/>
    <w:pPr>
      <w:widowControl/>
      <w:numPr>
        <w:numId w:val="35"/>
      </w:numPr>
      <w:jc w:val="both"/>
    </w:pPr>
    <w:rPr>
      <w:b w:val="0"/>
    </w:rPr>
  </w:style>
  <w:style w:type="character" w:customStyle="1" w:styleId="PLLNivel2notdcCar">
    <w:name w:val="PLL Nivel 2 notdc Car"/>
    <w:basedOn w:val="PLLNivel2Car"/>
    <w:link w:val="PLLNivel2notdc"/>
    <w:semiHidden/>
    <w:rsid w:val="00F654C9"/>
    <w:rPr>
      <w:rFonts w:asciiTheme="majorHAnsi" w:hAnsiTheme="majorHAnsi" w:cs="Tahoma"/>
      <w:b w:val="0"/>
      <w:bCs/>
      <w:szCs w:val="24"/>
      <w:lang w:val="es-ES"/>
    </w:rPr>
  </w:style>
  <w:style w:type="paragraph" w:customStyle="1" w:styleId="PLLSchedule">
    <w:name w:val="PLL Schedule"/>
    <w:basedOn w:val="PLLAnexo"/>
    <w:link w:val="PLLScheduleCar"/>
    <w:semiHidden/>
    <w:qFormat/>
    <w:rsid w:val="00F654C9"/>
    <w:pPr>
      <w:numPr>
        <w:numId w:val="36"/>
      </w:numPr>
      <w:tabs>
        <w:tab w:val="clear" w:pos="680"/>
      </w:tabs>
      <w:outlineLvl w:val="0"/>
    </w:pPr>
    <w:rPr>
      <w:bCs w:val="0"/>
    </w:rPr>
  </w:style>
  <w:style w:type="character" w:customStyle="1" w:styleId="PLLScheduleCar">
    <w:name w:val="PLL Schedule Car"/>
    <w:basedOn w:val="PLLAnexoCar"/>
    <w:link w:val="PLLSchedule"/>
    <w:semiHidden/>
    <w:rsid w:val="00F654C9"/>
    <w:rPr>
      <w:rFonts w:ascii="Times New Roman" w:hAnsi="Times New Roman" w:cs="Tahoma"/>
      <w:b/>
      <w:bCs w:val="0"/>
      <w:szCs w:val="21"/>
      <w:lang w:val="es-ES"/>
    </w:rPr>
  </w:style>
  <w:style w:type="paragraph" w:customStyle="1" w:styleId="PLLAppendix">
    <w:name w:val="PLL Appendix"/>
    <w:basedOn w:val="PLLSchedule"/>
    <w:link w:val="PLLAppendixCar"/>
    <w:semiHidden/>
    <w:qFormat/>
    <w:rsid w:val="00F654C9"/>
    <w:pPr>
      <w:numPr>
        <w:ilvl w:val="8"/>
        <w:numId w:val="37"/>
      </w:numPr>
    </w:pPr>
  </w:style>
  <w:style w:type="character" w:customStyle="1" w:styleId="PLLAppendixCar">
    <w:name w:val="PLL Appendix Car"/>
    <w:basedOn w:val="PLLScheduleCar"/>
    <w:link w:val="PLLAppendix"/>
    <w:semiHidden/>
    <w:rsid w:val="00F654C9"/>
    <w:rPr>
      <w:rFonts w:ascii="Times New Roman" w:hAnsi="Times New Roman" w:cs="Tahoma"/>
      <w:b/>
      <w:bCs w:val="0"/>
      <w:szCs w:val="21"/>
      <w:lang w:val="es-ES"/>
    </w:rPr>
  </w:style>
  <w:style w:type="character" w:customStyle="1" w:styleId="Ttulo3Car">
    <w:name w:val="Título 3 Car"/>
    <w:basedOn w:val="Fuentedeprrafopredeter"/>
    <w:link w:val="Ttulo3"/>
    <w:uiPriority w:val="9"/>
    <w:rsid w:val="00F654C9"/>
    <w:rPr>
      <w:rFonts w:asciiTheme="majorHAnsi" w:eastAsiaTheme="majorEastAsia" w:hAnsiTheme="majorHAnsi" w:cstheme="majorBidi"/>
      <w:color w:val="002943" w:themeColor="accent1" w:themeShade="7F"/>
      <w:sz w:val="24"/>
      <w:szCs w:val="24"/>
      <w:lang w:val="es-ES"/>
    </w:rPr>
  </w:style>
  <w:style w:type="character" w:customStyle="1" w:styleId="Ttulo6Car">
    <w:name w:val="Título 6 Car"/>
    <w:basedOn w:val="Fuentedeprrafopredeter"/>
    <w:link w:val="Ttulo6"/>
    <w:uiPriority w:val="9"/>
    <w:semiHidden/>
    <w:rsid w:val="00F654C9"/>
    <w:rPr>
      <w:rFonts w:asciiTheme="majorHAnsi" w:eastAsiaTheme="majorEastAsia" w:hAnsiTheme="majorHAnsi" w:cstheme="majorBidi"/>
      <w:color w:val="002943" w:themeColor="accent1" w:themeShade="7F"/>
      <w:lang w:val="es-ES"/>
    </w:rPr>
  </w:style>
  <w:style w:type="character" w:customStyle="1" w:styleId="Ttulo7Car">
    <w:name w:val="Título 7 Car"/>
    <w:basedOn w:val="Fuentedeprrafopredeter"/>
    <w:link w:val="Ttulo7"/>
    <w:uiPriority w:val="9"/>
    <w:semiHidden/>
    <w:rsid w:val="00F654C9"/>
    <w:rPr>
      <w:rFonts w:asciiTheme="majorHAnsi" w:eastAsiaTheme="majorEastAsia" w:hAnsiTheme="majorHAnsi" w:cstheme="majorBidi"/>
      <w:i/>
      <w:iCs/>
      <w:color w:val="002943" w:themeColor="accent1" w:themeShade="7F"/>
      <w:lang w:val="es-ES"/>
    </w:rPr>
  </w:style>
  <w:style w:type="character" w:customStyle="1" w:styleId="Ttulo8Car">
    <w:name w:val="Título 8 Car"/>
    <w:basedOn w:val="Fuentedeprrafopredeter"/>
    <w:link w:val="Ttulo8"/>
    <w:uiPriority w:val="9"/>
    <w:semiHidden/>
    <w:rsid w:val="00F654C9"/>
    <w:rPr>
      <w:rFonts w:asciiTheme="majorHAnsi" w:eastAsiaTheme="majorEastAsia" w:hAnsiTheme="majorHAnsi" w:cstheme="majorBidi"/>
      <w:color w:val="272727" w:themeColor="text1" w:themeTint="D8"/>
      <w:szCs w:val="21"/>
      <w:lang w:val="es-ES"/>
    </w:rPr>
  </w:style>
  <w:style w:type="character" w:customStyle="1" w:styleId="Ttulo9Car">
    <w:name w:val="Título 9 Car"/>
    <w:basedOn w:val="Fuentedeprrafopredeter"/>
    <w:link w:val="Ttulo9"/>
    <w:uiPriority w:val="9"/>
    <w:semiHidden/>
    <w:rsid w:val="00F654C9"/>
    <w:rPr>
      <w:rFonts w:asciiTheme="majorHAnsi" w:eastAsiaTheme="majorEastAsia" w:hAnsiTheme="majorHAnsi" w:cstheme="majorBidi"/>
      <w:i/>
      <w:iCs/>
      <w:color w:val="272727" w:themeColor="text1" w:themeTint="D8"/>
      <w:szCs w:val="21"/>
      <w:lang w:val="es-ES"/>
    </w:rPr>
  </w:style>
  <w:style w:type="character" w:customStyle="1" w:styleId="TtuloCar">
    <w:name w:val="Título Car"/>
    <w:basedOn w:val="Fuentedeprrafopredeter"/>
    <w:link w:val="Ttulo"/>
    <w:semiHidden/>
    <w:rsid w:val="00F654C9"/>
    <w:rPr>
      <w:rFonts w:ascii="Times New Roman" w:hAnsi="Times New Roman" w:cs="Tahoma"/>
      <w:b/>
      <w:caps/>
      <w:sz w:val="24"/>
      <w:szCs w:val="24"/>
      <w:lang w:val="es-ES"/>
    </w:rPr>
  </w:style>
  <w:style w:type="paragraph" w:customStyle="1" w:styleId="APLLaTtulo">
    <w:name w:val="A PLL aTítulo"/>
    <w:basedOn w:val="Ttulo"/>
    <w:next w:val="BPLLprrafo0"/>
    <w:qFormat/>
    <w:rsid w:val="00F654C9"/>
    <w:pPr>
      <w:spacing w:after="360"/>
    </w:pPr>
  </w:style>
  <w:style w:type="paragraph" w:customStyle="1" w:styleId="CPLLpartesroman">
    <w:name w:val="C PLL partes roman"/>
    <w:basedOn w:val="BPLLprrafo0"/>
    <w:qFormat/>
    <w:rsid w:val="00F654C9"/>
    <w:pPr>
      <w:numPr>
        <w:numId w:val="38"/>
      </w:numPr>
    </w:pPr>
  </w:style>
  <w:style w:type="numbering" w:customStyle="1" w:styleId="PLLMultinivel">
    <w:name w:val="PLL Multinivel"/>
    <w:uiPriority w:val="99"/>
    <w:rsid w:val="00F654C9"/>
    <w:pPr>
      <w:numPr>
        <w:numId w:val="39"/>
      </w:numPr>
    </w:pPr>
  </w:style>
  <w:style w:type="paragraph" w:customStyle="1" w:styleId="APLLNivel2notdc">
    <w:name w:val="A PLL Nivel 2 notdc"/>
    <w:basedOn w:val="APLLNivel2subclusula"/>
    <w:next w:val="BPLLprrafo1"/>
    <w:link w:val="APLLNivel2notdcCar"/>
    <w:qFormat/>
    <w:rsid w:val="00F654C9"/>
    <w:rPr>
      <w:b w:val="0"/>
      <w:bCs/>
    </w:rPr>
  </w:style>
  <w:style w:type="character" w:customStyle="1" w:styleId="APLLNivel2notdcCar">
    <w:name w:val="A PLL Nivel 2 notdc Car"/>
    <w:basedOn w:val="APLLNivel2subclusulaCar"/>
    <w:link w:val="APLLNivel2notdc"/>
    <w:rsid w:val="00F654C9"/>
    <w:rPr>
      <w:rFonts w:ascii="Times New Roman" w:hAnsi="Times New Roman"/>
      <w:b w:val="0"/>
      <w:bCs/>
      <w:kern w:val="20"/>
      <w:szCs w:val="28"/>
      <w:lang w:val="es-ES"/>
    </w:rPr>
  </w:style>
  <w:style w:type="character" w:customStyle="1" w:styleId="BPLLprrafo7Car">
    <w:name w:val="B PLL párrafo 7 Car"/>
    <w:basedOn w:val="Fuentedeprrafopredeter"/>
    <w:link w:val="BPLLprrafo7"/>
    <w:rsid w:val="00F654C9"/>
    <w:rPr>
      <w:rFonts w:ascii="Times New Roman" w:hAnsi="Times New Roman"/>
      <w:lang w:val="es-ES"/>
    </w:rPr>
  </w:style>
  <w:style w:type="table" w:customStyle="1" w:styleId="PLLTabla">
    <w:name w:val="PLLTabla"/>
    <w:basedOn w:val="Tablanormal"/>
    <w:uiPriority w:val="99"/>
    <w:rsid w:val="00F654C9"/>
    <w:pPr>
      <w:spacing w:after="0" w:line="240" w:lineRule="auto"/>
    </w:pPr>
    <w:rPr>
      <w:lang w:val="es-ES" w:eastAsia="en-US"/>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tcPr>
    <w:tblStylePr w:type="firstRow">
      <w:rPr>
        <w:b/>
        <w:i w:val="0"/>
        <w:caps/>
        <w:smallCaps w:val="0"/>
        <w:color w:val="FFFFFF" w:themeColor="background1"/>
      </w:rPr>
      <w:tblPr/>
      <w:tcPr>
        <w:shd w:val="clear" w:color="auto" w:fill="005487"/>
      </w:tcPr>
    </w:tblStylePr>
    <w:tblStylePr w:type="lastRow">
      <w:rPr>
        <w:b/>
        <w:i w:val="0"/>
        <w:color w:val="FFFFFF" w:themeColor="background1"/>
      </w:rPr>
      <w:tblPr/>
      <w:tcPr>
        <w:shd w:val="clear" w:color="auto" w:fill="005487" w:themeFill="accent1"/>
      </w:tcPr>
    </w:tblStylePr>
    <w:tblStylePr w:type="firstCol">
      <w:rPr>
        <w:b/>
        <w:i w:val="0"/>
        <w:caps/>
        <w:smallCaps w:val="0"/>
        <w:color w:val="FFFFFF" w:themeColor="background1"/>
      </w:rPr>
      <w:tblPr/>
      <w:tcPr>
        <w:shd w:val="clear" w:color="auto" w:fill="005487" w:themeFill="accent1"/>
      </w:tcPr>
    </w:tblStylePr>
    <w:tblStylePr w:type="band1Vert">
      <w:tblPr/>
      <w:tcPr>
        <w:shd w:val="clear" w:color="auto" w:fill="A4B1CC"/>
      </w:tcPr>
    </w:tblStylePr>
    <w:tblStylePr w:type="band1Horz">
      <w:tblPr/>
      <w:tcPr>
        <w:shd w:val="clear" w:color="auto" w:fill="FFFFFF" w:themeFill="background1"/>
      </w:tcPr>
    </w:tblStylePr>
    <w:tblStylePr w:type="band2Horz">
      <w:tblPr/>
      <w:tcPr>
        <w:shd w:val="clear" w:color="auto" w:fill="D2D7E6"/>
      </w:tcPr>
    </w:tblStylePr>
  </w:style>
  <w:style w:type="paragraph" w:customStyle="1" w:styleId="PLLTtulo">
    <w:name w:val="PLL Título"/>
    <w:basedOn w:val="Normal"/>
    <w:next w:val="Normal"/>
    <w:link w:val="PLLTtuloCar"/>
    <w:qFormat/>
    <w:rsid w:val="00F654C9"/>
    <w:pPr>
      <w:keepNext/>
      <w:widowControl w:val="0"/>
      <w:jc w:val="center"/>
    </w:pPr>
    <w:rPr>
      <w:rFonts w:cs="Tahoma"/>
      <w:b/>
      <w:caps/>
      <w:sz w:val="24"/>
      <w:szCs w:val="24"/>
      <w:lang w:eastAsia="en-US"/>
    </w:rPr>
  </w:style>
  <w:style w:type="character" w:customStyle="1" w:styleId="PLLTtuloCar">
    <w:name w:val="PLL Título Car"/>
    <w:basedOn w:val="Fuentedeprrafopredeter"/>
    <w:link w:val="PLLTtulo"/>
    <w:rsid w:val="00F654C9"/>
    <w:rPr>
      <w:rFonts w:ascii="Times New Roman" w:hAnsi="Times New Roman" w:cs="Tahoma"/>
      <w:b/>
      <w:caps/>
      <w:sz w:val="24"/>
      <w:szCs w:val="24"/>
      <w:lang w:val="es-ES" w:eastAsia="en-US"/>
    </w:rPr>
  </w:style>
  <w:style w:type="paragraph" w:styleId="Encabezado">
    <w:name w:val="header"/>
    <w:basedOn w:val="Normal"/>
    <w:link w:val="EncabezadoCar"/>
    <w:uiPriority w:val="99"/>
    <w:rsid w:val="00F654C9"/>
    <w:pPr>
      <w:tabs>
        <w:tab w:val="center" w:pos="4252"/>
        <w:tab w:val="right" w:pos="8504"/>
      </w:tabs>
      <w:spacing w:after="0" w:line="240" w:lineRule="auto"/>
      <w:jc w:val="both"/>
    </w:pPr>
  </w:style>
  <w:style w:type="character" w:customStyle="1" w:styleId="EncabezadoCar">
    <w:name w:val="Encabezado Car"/>
    <w:basedOn w:val="Fuentedeprrafopredeter"/>
    <w:link w:val="Encabezado"/>
    <w:uiPriority w:val="99"/>
    <w:rsid w:val="00F654C9"/>
    <w:rPr>
      <w:rFonts w:ascii="Times New Roman" w:hAnsi="Times New Roman"/>
      <w:lang w:val="es-ES"/>
    </w:rPr>
  </w:style>
  <w:style w:type="character" w:customStyle="1" w:styleId="PiedepginaCar">
    <w:name w:val="Pie de página Car"/>
    <w:aliases w:val="zzPie de página Car"/>
    <w:basedOn w:val="Fuentedeprrafopredeter"/>
    <w:link w:val="Piedepgina"/>
    <w:uiPriority w:val="99"/>
    <w:rsid w:val="008E7D26"/>
    <w:rPr>
      <w:rFonts w:ascii="Times New Roman" w:hAnsi="Times New Roman"/>
      <w:color w:val="000000"/>
      <w:kern w:val="20"/>
      <w:sz w:val="12"/>
      <w:szCs w:val="20"/>
      <w:lang w:val="es-ES"/>
    </w:rPr>
  </w:style>
  <w:style w:type="character" w:styleId="Textodelmarcadordeposicin">
    <w:name w:val="Placeholder Text"/>
    <w:basedOn w:val="Fuentedeprrafopredeter"/>
    <w:uiPriority w:val="99"/>
    <w:semiHidden/>
    <w:rsid w:val="00F654C9"/>
    <w:rPr>
      <w:color w:val="808080"/>
    </w:rPr>
  </w:style>
  <w:style w:type="paragraph" w:styleId="Sinespaciado">
    <w:name w:val="No Spacing"/>
    <w:link w:val="SinespaciadoCar"/>
    <w:uiPriority w:val="1"/>
    <w:qFormat/>
    <w:rsid w:val="00F654C9"/>
    <w:pPr>
      <w:spacing w:after="0" w:line="240" w:lineRule="auto"/>
    </w:pPr>
    <w:rPr>
      <w:rFonts w:eastAsiaTheme="minorEastAsia"/>
      <w:lang w:val="es-ES" w:eastAsia="es-ES"/>
    </w:rPr>
  </w:style>
  <w:style w:type="character" w:customStyle="1" w:styleId="SinespaciadoCar">
    <w:name w:val="Sin espaciado Car"/>
    <w:basedOn w:val="Fuentedeprrafopredeter"/>
    <w:link w:val="Sinespaciado"/>
    <w:uiPriority w:val="1"/>
    <w:rsid w:val="00F654C9"/>
    <w:rPr>
      <w:rFonts w:eastAsiaTheme="minorEastAsia"/>
      <w:lang w:val="es-ES" w:eastAsia="es-ES"/>
    </w:rPr>
  </w:style>
  <w:style w:type="paragraph" w:customStyle="1" w:styleId="EPLLnegritacentrado">
    <w:name w:val="E PLL negrita centrado"/>
    <w:basedOn w:val="BPLLprrafo0"/>
    <w:qFormat/>
    <w:rsid w:val="00F654C9"/>
    <w:pPr>
      <w:jc w:val="center"/>
    </w:pPr>
    <w:rPr>
      <w:b/>
    </w:rPr>
  </w:style>
  <w:style w:type="paragraph" w:customStyle="1" w:styleId="BPLLsubprrafonumerado">
    <w:name w:val="B PLL subpárrafo numerado"/>
    <w:basedOn w:val="BPLLprrafonumerado"/>
    <w:qFormat/>
    <w:rsid w:val="00F654C9"/>
    <w:pPr>
      <w:numPr>
        <w:ilvl w:val="1"/>
      </w:numPr>
    </w:pPr>
  </w:style>
  <w:style w:type="numbering" w:customStyle="1" w:styleId="TNR11">
    <w:name w:val="TNR 11"/>
    <w:uiPriority w:val="99"/>
    <w:rsid w:val="00F654C9"/>
    <w:pPr>
      <w:numPr>
        <w:numId w:val="42"/>
      </w:numPr>
    </w:pPr>
  </w:style>
  <w:style w:type="paragraph" w:customStyle="1" w:styleId="DPLLromanMAYderecho">
    <w:name w:val="D PLL romanMAY derecho"/>
    <w:basedOn w:val="DPLLromanMAY1"/>
    <w:qFormat/>
    <w:rsid w:val="005075A4"/>
    <w:rPr>
      <w:rFonts w:cs="Times New Roman"/>
      <w:lang w:val="en-GB"/>
    </w:rPr>
  </w:style>
  <w:style w:type="character" w:customStyle="1" w:styleId="Ttulo1Car">
    <w:name w:val="Título 1 Car"/>
    <w:basedOn w:val="Fuentedeprrafopredeter"/>
    <w:link w:val="Ttulo1"/>
    <w:uiPriority w:val="9"/>
    <w:rsid w:val="00BA14B6"/>
    <w:rPr>
      <w:rFonts w:ascii="Times New Roman" w:hAnsi="Times New Roman" w:cs="Arial"/>
      <w:bCs/>
      <w:szCs w:val="32"/>
      <w:lang w:val="es-ES"/>
    </w:rPr>
  </w:style>
  <w:style w:type="paragraph" w:styleId="Prrafodelista">
    <w:name w:val="List Paragraph"/>
    <w:basedOn w:val="Normal"/>
    <w:uiPriority w:val="34"/>
    <w:rsid w:val="00BA14B6"/>
    <w:pPr>
      <w:ind w:left="720"/>
      <w:contextualSpacing/>
    </w:pPr>
  </w:style>
  <w:style w:type="paragraph" w:styleId="NormalWeb">
    <w:name w:val="Normal (Web)"/>
    <w:basedOn w:val="Normal"/>
    <w:uiPriority w:val="99"/>
    <w:semiHidden/>
    <w:unhideWhenUsed/>
    <w:rsid w:val="007D6339"/>
    <w:pPr>
      <w:spacing w:before="100" w:beforeAutospacing="1" w:after="100" w:afterAutospacing="1" w:line="240" w:lineRule="auto"/>
    </w:pPr>
    <w:rPr>
      <w:rFonts w:eastAsia="Times New Roman" w:cs="Times New Roman"/>
      <w:sz w:val="24"/>
      <w:szCs w:val="24"/>
      <w:lang w:eastAsia="es-ES"/>
    </w:rPr>
  </w:style>
  <w:style w:type="character" w:customStyle="1" w:styleId="negrita">
    <w:name w:val="negrita"/>
    <w:basedOn w:val="Fuentedeprrafopredeter"/>
    <w:rsid w:val="007D6339"/>
  </w:style>
  <w:style w:type="character" w:styleId="Refdecomentario">
    <w:name w:val="annotation reference"/>
    <w:basedOn w:val="Fuentedeprrafopredeter"/>
    <w:semiHidden/>
    <w:unhideWhenUsed/>
    <w:rsid w:val="005E3324"/>
    <w:rPr>
      <w:sz w:val="16"/>
      <w:szCs w:val="16"/>
    </w:rPr>
  </w:style>
  <w:style w:type="paragraph" w:styleId="Textocomentario">
    <w:name w:val="annotation text"/>
    <w:basedOn w:val="Normal"/>
    <w:link w:val="TextocomentarioCar"/>
    <w:unhideWhenUsed/>
    <w:rsid w:val="005E3324"/>
    <w:pPr>
      <w:spacing w:line="240" w:lineRule="auto"/>
    </w:pPr>
    <w:rPr>
      <w:sz w:val="20"/>
      <w:szCs w:val="20"/>
    </w:rPr>
  </w:style>
  <w:style w:type="character" w:customStyle="1" w:styleId="TextocomentarioCar">
    <w:name w:val="Texto comentario Car"/>
    <w:basedOn w:val="Fuentedeprrafopredeter"/>
    <w:link w:val="Textocomentario"/>
    <w:rsid w:val="005E3324"/>
    <w:rPr>
      <w:rFonts w:ascii="Times New Roman" w:hAnsi="Times New Roman"/>
      <w:sz w:val="20"/>
      <w:szCs w:val="20"/>
      <w:lang w:val="es-ES"/>
    </w:rPr>
  </w:style>
  <w:style w:type="paragraph" w:styleId="Asuntodelcomentario">
    <w:name w:val="annotation subject"/>
    <w:basedOn w:val="Textocomentario"/>
    <w:next w:val="Textocomentario"/>
    <w:link w:val="AsuntodelcomentarioCar"/>
    <w:semiHidden/>
    <w:unhideWhenUsed/>
    <w:rsid w:val="005E3324"/>
    <w:rPr>
      <w:b/>
      <w:bCs/>
    </w:rPr>
  </w:style>
  <w:style w:type="character" w:customStyle="1" w:styleId="AsuntodelcomentarioCar">
    <w:name w:val="Asunto del comentario Car"/>
    <w:basedOn w:val="TextocomentarioCar"/>
    <w:link w:val="Asuntodelcomentario"/>
    <w:semiHidden/>
    <w:rsid w:val="005E3324"/>
    <w:rPr>
      <w:rFonts w:ascii="Times New Roman" w:hAnsi="Times New Roman"/>
      <w:b/>
      <w:bCs/>
      <w:sz w:val="20"/>
      <w:szCs w:val="20"/>
      <w:lang w:val="es-ES"/>
    </w:rPr>
  </w:style>
  <w:style w:type="paragraph" w:customStyle="1" w:styleId="Default">
    <w:name w:val="Default"/>
    <w:rsid w:val="0027183A"/>
    <w:pPr>
      <w:autoSpaceDE w:val="0"/>
      <w:autoSpaceDN w:val="0"/>
      <w:adjustRightInd w:val="0"/>
      <w:spacing w:after="0" w:line="240" w:lineRule="auto"/>
    </w:pPr>
    <w:rPr>
      <w:rFonts w:ascii="Arial" w:hAnsi="Arial" w:cs="Arial"/>
      <w:color w:val="000000"/>
      <w:sz w:val="24"/>
      <w:szCs w:val="24"/>
      <w:lang w:val="es-ES"/>
    </w:rPr>
  </w:style>
  <w:style w:type="character" w:customStyle="1" w:styleId="Ttulo2Car">
    <w:name w:val="Título 2 Car"/>
    <w:basedOn w:val="Fuentedeprrafopredeter"/>
    <w:link w:val="Ttulo2"/>
    <w:uiPriority w:val="9"/>
    <w:rsid w:val="0027183A"/>
    <w:rPr>
      <w:rFonts w:ascii="Times New Roman" w:hAnsi="Times New Roman" w:cs="Arial"/>
      <w:bCs/>
      <w:iCs/>
      <w:szCs w:val="2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20275">
      <w:bodyDiv w:val="1"/>
      <w:marLeft w:val="0"/>
      <w:marRight w:val="0"/>
      <w:marTop w:val="0"/>
      <w:marBottom w:val="0"/>
      <w:divBdr>
        <w:top w:val="none" w:sz="0" w:space="0" w:color="auto"/>
        <w:left w:val="none" w:sz="0" w:space="0" w:color="auto"/>
        <w:bottom w:val="none" w:sz="0" w:space="0" w:color="auto"/>
        <w:right w:val="none" w:sz="0" w:space="0" w:color="auto"/>
      </w:divBdr>
    </w:div>
    <w:div w:id="173151315">
      <w:bodyDiv w:val="1"/>
      <w:marLeft w:val="0"/>
      <w:marRight w:val="0"/>
      <w:marTop w:val="0"/>
      <w:marBottom w:val="0"/>
      <w:divBdr>
        <w:top w:val="none" w:sz="0" w:space="0" w:color="auto"/>
        <w:left w:val="none" w:sz="0" w:space="0" w:color="auto"/>
        <w:bottom w:val="none" w:sz="0" w:space="0" w:color="auto"/>
        <w:right w:val="none" w:sz="0" w:space="0" w:color="auto"/>
      </w:divBdr>
    </w:div>
    <w:div w:id="180751444">
      <w:bodyDiv w:val="1"/>
      <w:marLeft w:val="0"/>
      <w:marRight w:val="0"/>
      <w:marTop w:val="0"/>
      <w:marBottom w:val="0"/>
      <w:divBdr>
        <w:top w:val="none" w:sz="0" w:space="0" w:color="auto"/>
        <w:left w:val="none" w:sz="0" w:space="0" w:color="auto"/>
        <w:bottom w:val="none" w:sz="0" w:space="0" w:color="auto"/>
        <w:right w:val="none" w:sz="0" w:space="0" w:color="auto"/>
      </w:divBdr>
    </w:div>
    <w:div w:id="223881303">
      <w:bodyDiv w:val="1"/>
      <w:marLeft w:val="0"/>
      <w:marRight w:val="0"/>
      <w:marTop w:val="0"/>
      <w:marBottom w:val="0"/>
      <w:divBdr>
        <w:top w:val="none" w:sz="0" w:space="0" w:color="auto"/>
        <w:left w:val="none" w:sz="0" w:space="0" w:color="auto"/>
        <w:bottom w:val="none" w:sz="0" w:space="0" w:color="auto"/>
        <w:right w:val="none" w:sz="0" w:space="0" w:color="auto"/>
      </w:divBdr>
    </w:div>
    <w:div w:id="253560305">
      <w:bodyDiv w:val="1"/>
      <w:marLeft w:val="0"/>
      <w:marRight w:val="0"/>
      <w:marTop w:val="0"/>
      <w:marBottom w:val="0"/>
      <w:divBdr>
        <w:top w:val="none" w:sz="0" w:space="0" w:color="auto"/>
        <w:left w:val="none" w:sz="0" w:space="0" w:color="auto"/>
        <w:bottom w:val="none" w:sz="0" w:space="0" w:color="auto"/>
        <w:right w:val="none" w:sz="0" w:space="0" w:color="auto"/>
      </w:divBdr>
    </w:div>
    <w:div w:id="308023664">
      <w:bodyDiv w:val="1"/>
      <w:marLeft w:val="0"/>
      <w:marRight w:val="0"/>
      <w:marTop w:val="0"/>
      <w:marBottom w:val="0"/>
      <w:divBdr>
        <w:top w:val="none" w:sz="0" w:space="0" w:color="auto"/>
        <w:left w:val="none" w:sz="0" w:space="0" w:color="auto"/>
        <w:bottom w:val="none" w:sz="0" w:space="0" w:color="auto"/>
        <w:right w:val="none" w:sz="0" w:space="0" w:color="auto"/>
      </w:divBdr>
      <w:divsChild>
        <w:div w:id="638192374">
          <w:marLeft w:val="240"/>
          <w:marRight w:val="0"/>
          <w:marTop w:val="0"/>
          <w:marBottom w:val="48"/>
          <w:divBdr>
            <w:top w:val="none" w:sz="0" w:space="0" w:color="auto"/>
            <w:left w:val="none" w:sz="0" w:space="0" w:color="auto"/>
            <w:bottom w:val="none" w:sz="0" w:space="0" w:color="auto"/>
            <w:right w:val="none" w:sz="0" w:space="0" w:color="auto"/>
          </w:divBdr>
          <w:divsChild>
            <w:div w:id="8146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159454">
      <w:bodyDiv w:val="1"/>
      <w:marLeft w:val="0"/>
      <w:marRight w:val="0"/>
      <w:marTop w:val="0"/>
      <w:marBottom w:val="0"/>
      <w:divBdr>
        <w:top w:val="none" w:sz="0" w:space="0" w:color="auto"/>
        <w:left w:val="none" w:sz="0" w:space="0" w:color="auto"/>
        <w:bottom w:val="none" w:sz="0" w:space="0" w:color="auto"/>
        <w:right w:val="none" w:sz="0" w:space="0" w:color="auto"/>
      </w:divBdr>
    </w:div>
    <w:div w:id="430248573">
      <w:bodyDiv w:val="1"/>
      <w:marLeft w:val="0"/>
      <w:marRight w:val="0"/>
      <w:marTop w:val="0"/>
      <w:marBottom w:val="0"/>
      <w:divBdr>
        <w:top w:val="none" w:sz="0" w:space="0" w:color="auto"/>
        <w:left w:val="none" w:sz="0" w:space="0" w:color="auto"/>
        <w:bottom w:val="none" w:sz="0" w:space="0" w:color="auto"/>
        <w:right w:val="none" w:sz="0" w:space="0" w:color="auto"/>
      </w:divBdr>
    </w:div>
    <w:div w:id="459997479">
      <w:bodyDiv w:val="1"/>
      <w:marLeft w:val="0"/>
      <w:marRight w:val="0"/>
      <w:marTop w:val="0"/>
      <w:marBottom w:val="0"/>
      <w:divBdr>
        <w:top w:val="none" w:sz="0" w:space="0" w:color="auto"/>
        <w:left w:val="none" w:sz="0" w:space="0" w:color="auto"/>
        <w:bottom w:val="none" w:sz="0" w:space="0" w:color="auto"/>
        <w:right w:val="none" w:sz="0" w:space="0" w:color="auto"/>
      </w:divBdr>
    </w:div>
    <w:div w:id="484593494">
      <w:bodyDiv w:val="1"/>
      <w:marLeft w:val="0"/>
      <w:marRight w:val="0"/>
      <w:marTop w:val="0"/>
      <w:marBottom w:val="0"/>
      <w:divBdr>
        <w:top w:val="none" w:sz="0" w:space="0" w:color="auto"/>
        <w:left w:val="none" w:sz="0" w:space="0" w:color="auto"/>
        <w:bottom w:val="none" w:sz="0" w:space="0" w:color="auto"/>
        <w:right w:val="none" w:sz="0" w:space="0" w:color="auto"/>
      </w:divBdr>
    </w:div>
    <w:div w:id="559942477">
      <w:bodyDiv w:val="1"/>
      <w:marLeft w:val="0"/>
      <w:marRight w:val="0"/>
      <w:marTop w:val="0"/>
      <w:marBottom w:val="0"/>
      <w:divBdr>
        <w:top w:val="none" w:sz="0" w:space="0" w:color="auto"/>
        <w:left w:val="none" w:sz="0" w:space="0" w:color="auto"/>
        <w:bottom w:val="none" w:sz="0" w:space="0" w:color="auto"/>
        <w:right w:val="none" w:sz="0" w:space="0" w:color="auto"/>
      </w:divBdr>
    </w:div>
    <w:div w:id="561913813">
      <w:bodyDiv w:val="1"/>
      <w:marLeft w:val="0"/>
      <w:marRight w:val="0"/>
      <w:marTop w:val="0"/>
      <w:marBottom w:val="0"/>
      <w:divBdr>
        <w:top w:val="none" w:sz="0" w:space="0" w:color="auto"/>
        <w:left w:val="none" w:sz="0" w:space="0" w:color="auto"/>
        <w:bottom w:val="none" w:sz="0" w:space="0" w:color="auto"/>
        <w:right w:val="none" w:sz="0" w:space="0" w:color="auto"/>
      </w:divBdr>
    </w:div>
    <w:div w:id="613639475">
      <w:bodyDiv w:val="1"/>
      <w:marLeft w:val="0"/>
      <w:marRight w:val="0"/>
      <w:marTop w:val="0"/>
      <w:marBottom w:val="0"/>
      <w:divBdr>
        <w:top w:val="none" w:sz="0" w:space="0" w:color="auto"/>
        <w:left w:val="none" w:sz="0" w:space="0" w:color="auto"/>
        <w:bottom w:val="none" w:sz="0" w:space="0" w:color="auto"/>
        <w:right w:val="none" w:sz="0" w:space="0" w:color="auto"/>
      </w:divBdr>
    </w:div>
    <w:div w:id="621611516">
      <w:bodyDiv w:val="1"/>
      <w:marLeft w:val="0"/>
      <w:marRight w:val="0"/>
      <w:marTop w:val="0"/>
      <w:marBottom w:val="0"/>
      <w:divBdr>
        <w:top w:val="none" w:sz="0" w:space="0" w:color="auto"/>
        <w:left w:val="none" w:sz="0" w:space="0" w:color="auto"/>
        <w:bottom w:val="none" w:sz="0" w:space="0" w:color="auto"/>
        <w:right w:val="none" w:sz="0" w:space="0" w:color="auto"/>
      </w:divBdr>
    </w:div>
    <w:div w:id="722750698">
      <w:bodyDiv w:val="1"/>
      <w:marLeft w:val="0"/>
      <w:marRight w:val="0"/>
      <w:marTop w:val="0"/>
      <w:marBottom w:val="0"/>
      <w:divBdr>
        <w:top w:val="none" w:sz="0" w:space="0" w:color="auto"/>
        <w:left w:val="none" w:sz="0" w:space="0" w:color="auto"/>
        <w:bottom w:val="none" w:sz="0" w:space="0" w:color="auto"/>
        <w:right w:val="none" w:sz="0" w:space="0" w:color="auto"/>
      </w:divBdr>
    </w:div>
    <w:div w:id="726686367">
      <w:bodyDiv w:val="1"/>
      <w:marLeft w:val="0"/>
      <w:marRight w:val="0"/>
      <w:marTop w:val="0"/>
      <w:marBottom w:val="0"/>
      <w:divBdr>
        <w:top w:val="none" w:sz="0" w:space="0" w:color="auto"/>
        <w:left w:val="none" w:sz="0" w:space="0" w:color="auto"/>
        <w:bottom w:val="none" w:sz="0" w:space="0" w:color="auto"/>
        <w:right w:val="none" w:sz="0" w:space="0" w:color="auto"/>
      </w:divBdr>
    </w:div>
    <w:div w:id="844706247">
      <w:bodyDiv w:val="1"/>
      <w:marLeft w:val="0"/>
      <w:marRight w:val="0"/>
      <w:marTop w:val="0"/>
      <w:marBottom w:val="0"/>
      <w:divBdr>
        <w:top w:val="none" w:sz="0" w:space="0" w:color="auto"/>
        <w:left w:val="none" w:sz="0" w:space="0" w:color="auto"/>
        <w:bottom w:val="none" w:sz="0" w:space="0" w:color="auto"/>
        <w:right w:val="none" w:sz="0" w:space="0" w:color="auto"/>
      </w:divBdr>
    </w:div>
    <w:div w:id="951743929">
      <w:bodyDiv w:val="1"/>
      <w:marLeft w:val="0"/>
      <w:marRight w:val="0"/>
      <w:marTop w:val="0"/>
      <w:marBottom w:val="0"/>
      <w:divBdr>
        <w:top w:val="none" w:sz="0" w:space="0" w:color="auto"/>
        <w:left w:val="none" w:sz="0" w:space="0" w:color="auto"/>
        <w:bottom w:val="none" w:sz="0" w:space="0" w:color="auto"/>
        <w:right w:val="none" w:sz="0" w:space="0" w:color="auto"/>
      </w:divBdr>
    </w:div>
    <w:div w:id="1007487620">
      <w:bodyDiv w:val="1"/>
      <w:marLeft w:val="0"/>
      <w:marRight w:val="0"/>
      <w:marTop w:val="0"/>
      <w:marBottom w:val="0"/>
      <w:divBdr>
        <w:top w:val="none" w:sz="0" w:space="0" w:color="auto"/>
        <w:left w:val="none" w:sz="0" w:space="0" w:color="auto"/>
        <w:bottom w:val="none" w:sz="0" w:space="0" w:color="auto"/>
        <w:right w:val="none" w:sz="0" w:space="0" w:color="auto"/>
      </w:divBdr>
    </w:div>
    <w:div w:id="1197231761">
      <w:bodyDiv w:val="1"/>
      <w:marLeft w:val="0"/>
      <w:marRight w:val="0"/>
      <w:marTop w:val="0"/>
      <w:marBottom w:val="0"/>
      <w:divBdr>
        <w:top w:val="none" w:sz="0" w:space="0" w:color="auto"/>
        <w:left w:val="none" w:sz="0" w:space="0" w:color="auto"/>
        <w:bottom w:val="none" w:sz="0" w:space="0" w:color="auto"/>
        <w:right w:val="none" w:sz="0" w:space="0" w:color="auto"/>
      </w:divBdr>
    </w:div>
    <w:div w:id="1284073602">
      <w:bodyDiv w:val="1"/>
      <w:marLeft w:val="0"/>
      <w:marRight w:val="0"/>
      <w:marTop w:val="0"/>
      <w:marBottom w:val="0"/>
      <w:divBdr>
        <w:top w:val="none" w:sz="0" w:space="0" w:color="auto"/>
        <w:left w:val="none" w:sz="0" w:space="0" w:color="auto"/>
        <w:bottom w:val="none" w:sz="0" w:space="0" w:color="auto"/>
        <w:right w:val="none" w:sz="0" w:space="0" w:color="auto"/>
      </w:divBdr>
    </w:div>
    <w:div w:id="1300762654">
      <w:bodyDiv w:val="1"/>
      <w:marLeft w:val="0"/>
      <w:marRight w:val="0"/>
      <w:marTop w:val="0"/>
      <w:marBottom w:val="0"/>
      <w:divBdr>
        <w:top w:val="none" w:sz="0" w:space="0" w:color="auto"/>
        <w:left w:val="none" w:sz="0" w:space="0" w:color="auto"/>
        <w:bottom w:val="none" w:sz="0" w:space="0" w:color="auto"/>
        <w:right w:val="none" w:sz="0" w:space="0" w:color="auto"/>
      </w:divBdr>
    </w:div>
    <w:div w:id="1344087442">
      <w:bodyDiv w:val="1"/>
      <w:marLeft w:val="0"/>
      <w:marRight w:val="0"/>
      <w:marTop w:val="0"/>
      <w:marBottom w:val="0"/>
      <w:divBdr>
        <w:top w:val="none" w:sz="0" w:space="0" w:color="auto"/>
        <w:left w:val="none" w:sz="0" w:space="0" w:color="auto"/>
        <w:bottom w:val="none" w:sz="0" w:space="0" w:color="auto"/>
        <w:right w:val="none" w:sz="0" w:space="0" w:color="auto"/>
      </w:divBdr>
    </w:div>
    <w:div w:id="1434595854">
      <w:bodyDiv w:val="1"/>
      <w:marLeft w:val="0"/>
      <w:marRight w:val="0"/>
      <w:marTop w:val="0"/>
      <w:marBottom w:val="0"/>
      <w:divBdr>
        <w:top w:val="none" w:sz="0" w:space="0" w:color="auto"/>
        <w:left w:val="none" w:sz="0" w:space="0" w:color="auto"/>
        <w:bottom w:val="none" w:sz="0" w:space="0" w:color="auto"/>
        <w:right w:val="none" w:sz="0" w:space="0" w:color="auto"/>
      </w:divBdr>
    </w:div>
    <w:div w:id="1651786064">
      <w:bodyDiv w:val="1"/>
      <w:marLeft w:val="0"/>
      <w:marRight w:val="0"/>
      <w:marTop w:val="0"/>
      <w:marBottom w:val="0"/>
      <w:divBdr>
        <w:top w:val="none" w:sz="0" w:space="0" w:color="auto"/>
        <w:left w:val="none" w:sz="0" w:space="0" w:color="auto"/>
        <w:bottom w:val="none" w:sz="0" w:space="0" w:color="auto"/>
        <w:right w:val="none" w:sz="0" w:space="0" w:color="auto"/>
      </w:divBdr>
    </w:div>
    <w:div w:id="1689211928">
      <w:bodyDiv w:val="1"/>
      <w:marLeft w:val="0"/>
      <w:marRight w:val="0"/>
      <w:marTop w:val="0"/>
      <w:marBottom w:val="0"/>
      <w:divBdr>
        <w:top w:val="none" w:sz="0" w:space="0" w:color="auto"/>
        <w:left w:val="none" w:sz="0" w:space="0" w:color="auto"/>
        <w:bottom w:val="none" w:sz="0" w:space="0" w:color="auto"/>
        <w:right w:val="none" w:sz="0" w:space="0" w:color="auto"/>
      </w:divBdr>
    </w:div>
    <w:div w:id="1970084288">
      <w:bodyDiv w:val="1"/>
      <w:marLeft w:val="0"/>
      <w:marRight w:val="0"/>
      <w:marTop w:val="0"/>
      <w:marBottom w:val="0"/>
      <w:divBdr>
        <w:top w:val="none" w:sz="0" w:space="0" w:color="auto"/>
        <w:left w:val="none" w:sz="0" w:space="0" w:color="auto"/>
        <w:bottom w:val="none" w:sz="0" w:space="0" w:color="auto"/>
        <w:right w:val="none" w:sz="0" w:space="0" w:color="auto"/>
      </w:divBdr>
    </w:div>
    <w:div w:id="2008047733">
      <w:bodyDiv w:val="1"/>
      <w:marLeft w:val="0"/>
      <w:marRight w:val="0"/>
      <w:marTop w:val="0"/>
      <w:marBottom w:val="0"/>
      <w:divBdr>
        <w:top w:val="none" w:sz="0" w:space="0" w:color="auto"/>
        <w:left w:val="none" w:sz="0" w:space="0" w:color="auto"/>
        <w:bottom w:val="none" w:sz="0" w:space="0" w:color="auto"/>
        <w:right w:val="none" w:sz="0" w:space="0" w:color="auto"/>
      </w:divBdr>
    </w:div>
    <w:div w:id="2077968125">
      <w:bodyDiv w:val="1"/>
      <w:marLeft w:val="0"/>
      <w:marRight w:val="0"/>
      <w:marTop w:val="0"/>
      <w:marBottom w:val="0"/>
      <w:divBdr>
        <w:top w:val="none" w:sz="0" w:space="0" w:color="auto"/>
        <w:left w:val="none" w:sz="0" w:space="0" w:color="auto"/>
        <w:bottom w:val="none" w:sz="0" w:space="0" w:color="auto"/>
        <w:right w:val="none" w:sz="0" w:space="0" w:color="auto"/>
      </w:divBdr>
    </w:div>
    <w:div w:id="2128160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PLL">
  <a:themeElements>
    <a:clrScheme name="PLL">
      <a:dk1>
        <a:sysClr val="windowText" lastClr="000000"/>
      </a:dk1>
      <a:lt1>
        <a:sysClr val="window" lastClr="FFFFFF"/>
      </a:lt1>
      <a:dk2>
        <a:srgbClr val="1F497D"/>
      </a:dk2>
      <a:lt2>
        <a:srgbClr val="EEECE1"/>
      </a:lt2>
      <a:accent1>
        <a:srgbClr val="005487"/>
      </a:accent1>
      <a:accent2>
        <a:srgbClr val="F15841"/>
      </a:accent2>
      <a:accent3>
        <a:srgbClr val="878787"/>
      </a:accent3>
      <a:accent4>
        <a:srgbClr val="D79A2B"/>
      </a:accent4>
      <a:accent5>
        <a:srgbClr val="79242F"/>
      </a:accent5>
      <a:accent6>
        <a:srgbClr val="D2D7E6"/>
      </a:accent6>
      <a:hlink>
        <a:srgbClr val="005487"/>
      </a:hlink>
      <a:folHlink>
        <a:srgbClr val="005487"/>
      </a:folHlink>
    </a:clrScheme>
    <a:fontScheme name="Personalizado 3">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ED320-15DE-493D-BDEE-2EC11F385D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4415</Words>
  <Characters>24284</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Estilos</vt:lpstr>
    </vt:vector>
  </TitlesOfParts>
  <Company>Perez Llorca</Company>
  <LinksUpToDate>false</LinksUpToDate>
  <CharactersWithSpaces>28642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Estilos</dc:title>
  <dc:subject/>
  <dc:creator>PLL</dc:creator>
  <cp:keywords/>
  <dc:description/>
  <cp:lastModifiedBy>Nuria García García</cp:lastModifiedBy>
  <cp:revision>2</cp:revision>
  <cp:lastPrinted>2022-12-20T21:16:00Z</cp:lastPrinted>
  <dcterms:created xsi:type="dcterms:W3CDTF">2023-11-07T13:12:00Z</dcterms:created>
  <dcterms:modified xsi:type="dcterms:W3CDTF">2023-11-07T13:12:00Z</dcterms:modified>
</cp:coreProperties>
</file>