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46DE" w:rsidRDefault="007746DE" w:rsidP="00D55AD8">
      <w:pPr>
        <w:ind w:firstLine="720"/>
        <w:jc w:val="center"/>
        <w:rPr>
          <w:rFonts w:ascii="Calibri" w:eastAsia="Calibri" w:hAnsi="Calibri"/>
          <w:b/>
          <w:color w:val="000000"/>
          <w:sz w:val="36"/>
          <w:szCs w:val="36"/>
          <w:u w:val="single"/>
          <w:lang w:eastAsia="en-US"/>
        </w:rPr>
      </w:pPr>
      <w:bookmarkStart w:id="0" w:name="_GoBack"/>
      <w:bookmarkEnd w:id="0"/>
    </w:p>
    <w:p w:rsidR="007746DE" w:rsidRDefault="007746DE" w:rsidP="00D55AD8">
      <w:pPr>
        <w:ind w:firstLine="720"/>
        <w:jc w:val="center"/>
        <w:rPr>
          <w:rFonts w:ascii="Calibri" w:eastAsia="Calibri" w:hAnsi="Calibri"/>
          <w:b/>
          <w:color w:val="000000"/>
          <w:sz w:val="36"/>
          <w:szCs w:val="36"/>
          <w:u w:val="single"/>
          <w:lang w:eastAsia="en-US"/>
        </w:rPr>
      </w:pPr>
    </w:p>
    <w:p w:rsidR="00D55AD8" w:rsidRDefault="00D55AD8" w:rsidP="00D55AD8">
      <w:pPr>
        <w:ind w:firstLine="720"/>
        <w:jc w:val="center"/>
        <w:rPr>
          <w:rFonts w:ascii="Calibri" w:eastAsia="Calibri" w:hAnsi="Calibri"/>
          <w:b/>
          <w:color w:val="000000"/>
          <w:sz w:val="36"/>
          <w:szCs w:val="36"/>
          <w:u w:val="single"/>
          <w:lang w:eastAsia="en-US"/>
        </w:rPr>
      </w:pPr>
      <w:r w:rsidRPr="00D55AD8">
        <w:rPr>
          <w:rFonts w:ascii="Calibri" w:eastAsia="Calibri" w:hAnsi="Calibri"/>
          <w:b/>
          <w:color w:val="000000"/>
          <w:sz w:val="36"/>
          <w:szCs w:val="36"/>
          <w:u w:val="single"/>
          <w:lang w:eastAsia="en-US"/>
        </w:rPr>
        <w:t xml:space="preserve">OBSERVACIONES DE LA FUNDACIÓN CEFI </w:t>
      </w:r>
    </w:p>
    <w:p w:rsidR="00D55AD8" w:rsidRPr="00D55AD8" w:rsidRDefault="00D55AD8" w:rsidP="00D55AD8">
      <w:pPr>
        <w:ind w:firstLine="720"/>
        <w:jc w:val="center"/>
        <w:rPr>
          <w:rFonts w:ascii="Calibri" w:eastAsia="Calibri" w:hAnsi="Calibri"/>
          <w:b/>
          <w:color w:val="000000"/>
          <w:sz w:val="36"/>
          <w:szCs w:val="36"/>
          <w:u w:val="single"/>
          <w:lang w:eastAsia="en-US"/>
        </w:rPr>
      </w:pPr>
      <w:r w:rsidRPr="00D55AD8">
        <w:rPr>
          <w:rFonts w:ascii="Calibri" w:eastAsia="Calibri" w:hAnsi="Calibri"/>
          <w:b/>
          <w:color w:val="000000"/>
          <w:sz w:val="36"/>
          <w:szCs w:val="36"/>
          <w:u w:val="single"/>
          <w:lang w:eastAsia="en-US"/>
        </w:rPr>
        <w:t>A LA TRANSPOSICIÓN DE LA DIRECTIVA DE MARCAS</w:t>
      </w:r>
    </w:p>
    <w:p w:rsidR="00D55AD8" w:rsidRDefault="00D55AD8" w:rsidP="00D55AD8">
      <w:pPr>
        <w:jc w:val="both"/>
        <w:rPr>
          <w:rFonts w:ascii="Calibri" w:eastAsia="Calibri" w:hAnsi="Calibri"/>
          <w:b/>
          <w:color w:val="000000"/>
          <w:sz w:val="22"/>
          <w:szCs w:val="22"/>
          <w:u w:val="single"/>
          <w:lang w:eastAsia="en-US"/>
        </w:rPr>
      </w:pPr>
    </w:p>
    <w:p w:rsidR="00D55AD8" w:rsidRDefault="00D55AD8" w:rsidP="00D55AD8">
      <w:pPr>
        <w:jc w:val="both"/>
        <w:rPr>
          <w:rFonts w:ascii="Calibri" w:eastAsia="Calibri" w:hAnsi="Calibri"/>
          <w:b/>
          <w:color w:val="000000"/>
          <w:sz w:val="22"/>
          <w:szCs w:val="22"/>
          <w:u w:val="single"/>
          <w:lang w:eastAsia="en-US"/>
        </w:rPr>
      </w:pPr>
    </w:p>
    <w:p w:rsidR="00C441C3" w:rsidRDefault="00C441C3" w:rsidP="00D55AD8">
      <w:pPr>
        <w:jc w:val="both"/>
        <w:rPr>
          <w:rFonts w:ascii="Calibri" w:eastAsia="Calibri" w:hAnsi="Calibri"/>
          <w:b/>
          <w:color w:val="000000"/>
          <w:sz w:val="22"/>
          <w:szCs w:val="22"/>
          <w:u w:val="single"/>
          <w:lang w:eastAsia="en-US"/>
        </w:rPr>
      </w:pPr>
    </w:p>
    <w:p w:rsidR="00C441C3" w:rsidRDefault="00C441C3" w:rsidP="00D55AD8">
      <w:pPr>
        <w:jc w:val="both"/>
        <w:rPr>
          <w:rFonts w:ascii="Calibri" w:eastAsia="Calibri" w:hAnsi="Calibri"/>
          <w:color w:val="000000"/>
          <w:sz w:val="22"/>
          <w:szCs w:val="22"/>
          <w:lang w:eastAsia="en-US"/>
        </w:rPr>
      </w:pPr>
      <w:r>
        <w:rPr>
          <w:rFonts w:ascii="Calibri" w:eastAsia="Calibri" w:hAnsi="Calibri"/>
          <w:color w:val="000000"/>
          <w:sz w:val="22"/>
          <w:szCs w:val="22"/>
          <w:lang w:eastAsia="en-US"/>
        </w:rPr>
        <w:t xml:space="preserve">La Fundación Centro de Estudios para el Fomento de la Investigación, CEFI, dedicada a la promoción y defensa de la propiedad industrial presenta sus observaciones a la transposición de la Directiva de Marcas. Muchas de ellas referida al propio texto del Anteproyecto de Ley de </w:t>
      </w:r>
      <w:proofErr w:type="gramStart"/>
      <w:r>
        <w:rPr>
          <w:rFonts w:ascii="Calibri" w:eastAsia="Calibri" w:hAnsi="Calibri"/>
          <w:color w:val="000000"/>
          <w:sz w:val="22"/>
          <w:szCs w:val="22"/>
          <w:lang w:eastAsia="en-US"/>
        </w:rPr>
        <w:t>Marcas</w:t>
      </w:r>
      <w:proofErr w:type="gramEnd"/>
      <w:r>
        <w:rPr>
          <w:rFonts w:ascii="Calibri" w:eastAsia="Calibri" w:hAnsi="Calibri"/>
          <w:color w:val="000000"/>
          <w:sz w:val="22"/>
          <w:szCs w:val="22"/>
          <w:lang w:eastAsia="en-US"/>
        </w:rPr>
        <w:t xml:space="preserve"> pero válidas en cuanto al fondo al texto del actual Real Decreto Ley 23/2018, de 21 de diciembre.</w:t>
      </w:r>
    </w:p>
    <w:p w:rsidR="00C441C3" w:rsidRPr="00C441C3" w:rsidRDefault="00C441C3" w:rsidP="00D55AD8">
      <w:pPr>
        <w:jc w:val="both"/>
        <w:rPr>
          <w:rFonts w:ascii="Calibri" w:eastAsia="Calibri" w:hAnsi="Calibri"/>
          <w:color w:val="000000"/>
          <w:sz w:val="22"/>
          <w:szCs w:val="22"/>
          <w:lang w:eastAsia="en-US"/>
        </w:rPr>
      </w:pPr>
    </w:p>
    <w:p w:rsidR="002E75BF" w:rsidRPr="00D55AD8" w:rsidRDefault="00D55AD8" w:rsidP="00D55AD8">
      <w:pPr>
        <w:jc w:val="both"/>
        <w:rPr>
          <w:rFonts w:ascii="Calibri" w:eastAsia="Calibri" w:hAnsi="Calibri"/>
          <w:b/>
          <w:color w:val="000000"/>
          <w:sz w:val="22"/>
          <w:szCs w:val="22"/>
          <w:u w:val="single"/>
          <w:lang w:eastAsia="en-US"/>
        </w:rPr>
      </w:pPr>
      <w:r>
        <w:rPr>
          <w:rFonts w:ascii="Calibri" w:eastAsia="Calibri" w:hAnsi="Calibri"/>
          <w:b/>
          <w:color w:val="000000"/>
          <w:sz w:val="22"/>
          <w:szCs w:val="22"/>
          <w:u w:val="single"/>
          <w:lang w:eastAsia="en-US"/>
        </w:rPr>
        <w:t xml:space="preserve">DEFINICIÓN </w:t>
      </w:r>
      <w:r w:rsidR="002E75BF" w:rsidRPr="00C15DA5">
        <w:rPr>
          <w:rFonts w:ascii="Calibri" w:eastAsia="Calibri" w:hAnsi="Calibri"/>
          <w:b/>
          <w:color w:val="000000"/>
          <w:sz w:val="22"/>
          <w:szCs w:val="22"/>
          <w:u w:val="single"/>
          <w:lang w:eastAsia="en-US"/>
        </w:rPr>
        <w:t xml:space="preserve">MARCA RENOMBRADA </w:t>
      </w:r>
    </w:p>
    <w:p w:rsidR="002E75BF" w:rsidRDefault="002E75BF" w:rsidP="002E75BF">
      <w:pPr>
        <w:ind w:firstLine="720"/>
        <w:jc w:val="both"/>
        <w:rPr>
          <w:rFonts w:ascii="Calibri" w:eastAsia="Calibri" w:hAnsi="Calibri"/>
          <w:color w:val="000000"/>
          <w:sz w:val="22"/>
          <w:szCs w:val="22"/>
          <w:lang w:eastAsia="en-US"/>
        </w:rPr>
      </w:pPr>
    </w:p>
    <w:p w:rsidR="002E75BF" w:rsidRDefault="00754B16" w:rsidP="00754B16">
      <w:pPr>
        <w:jc w:val="both"/>
        <w:rPr>
          <w:rFonts w:ascii="Calibri" w:eastAsia="Calibri" w:hAnsi="Calibri"/>
          <w:color w:val="000000"/>
          <w:sz w:val="22"/>
          <w:szCs w:val="22"/>
          <w:lang w:eastAsia="en-US"/>
        </w:rPr>
      </w:pPr>
      <w:r>
        <w:rPr>
          <w:rFonts w:ascii="Calibri" w:eastAsia="Calibri" w:hAnsi="Calibri"/>
          <w:color w:val="000000"/>
          <w:sz w:val="22"/>
          <w:szCs w:val="22"/>
          <w:lang w:eastAsia="en-US"/>
        </w:rPr>
        <w:t>Definición de marca renombrada</w:t>
      </w:r>
      <w:r w:rsidR="002E75BF" w:rsidRPr="00511998">
        <w:rPr>
          <w:rFonts w:ascii="Calibri" w:eastAsia="Calibri" w:hAnsi="Calibri"/>
          <w:color w:val="000000"/>
          <w:sz w:val="22"/>
          <w:szCs w:val="22"/>
          <w:lang w:eastAsia="en-US"/>
        </w:rPr>
        <w:t>, tal y como se recoge en la jurisprudencia del Tribunal de Justicia de la Unión Europea, con vistas a que la interpretación que se haga del concepto “marcas renombradas” o “marcas con renombre” sea por parte de los juzgados y tribunales acorde con la pretensión del legislador y con las líneas jurisprudenciales en la Unión Europea, respetando, por tanto, el principio de homogeneización con la Directiva 2105/2436 y el resto de legislaciones en materia de propiedad industrial de países de la Unión Europea</w:t>
      </w:r>
      <w:r>
        <w:rPr>
          <w:rFonts w:ascii="Calibri" w:eastAsia="Calibri" w:hAnsi="Calibri"/>
          <w:color w:val="000000"/>
          <w:sz w:val="22"/>
          <w:szCs w:val="22"/>
          <w:lang w:eastAsia="en-US"/>
        </w:rPr>
        <w:t>.</w:t>
      </w:r>
    </w:p>
    <w:p w:rsidR="002E75BF" w:rsidRDefault="002E75BF" w:rsidP="002E75BF">
      <w:pPr>
        <w:ind w:firstLine="720"/>
        <w:jc w:val="both"/>
        <w:rPr>
          <w:rFonts w:ascii="Calibri" w:eastAsia="Calibri" w:hAnsi="Calibri"/>
          <w:color w:val="000000"/>
          <w:sz w:val="22"/>
          <w:szCs w:val="22"/>
          <w:lang w:eastAsia="en-US"/>
        </w:rPr>
      </w:pPr>
    </w:p>
    <w:p w:rsidR="002E75BF" w:rsidRDefault="002E75BF" w:rsidP="002E75BF">
      <w:pPr>
        <w:ind w:firstLine="720"/>
        <w:jc w:val="both"/>
        <w:rPr>
          <w:rFonts w:ascii="Calibri" w:eastAsia="Calibri" w:hAnsi="Calibri"/>
          <w:color w:val="000000"/>
          <w:sz w:val="22"/>
          <w:szCs w:val="22"/>
          <w:lang w:eastAsia="en-US"/>
        </w:rPr>
      </w:pPr>
      <w:r>
        <w:rPr>
          <w:rFonts w:ascii="Calibri" w:eastAsia="Calibri" w:hAnsi="Calibri"/>
          <w:color w:val="000000"/>
          <w:sz w:val="22"/>
          <w:szCs w:val="22"/>
          <w:lang w:eastAsia="en-US"/>
        </w:rPr>
        <w:t xml:space="preserve">Por tanto, </w:t>
      </w:r>
      <w:r w:rsidR="00202DAB">
        <w:rPr>
          <w:rFonts w:ascii="Calibri" w:eastAsia="Calibri" w:hAnsi="Calibri"/>
          <w:color w:val="000000"/>
          <w:sz w:val="22"/>
          <w:szCs w:val="22"/>
          <w:lang w:eastAsia="en-US"/>
        </w:rPr>
        <w:t xml:space="preserve">CEFI </w:t>
      </w:r>
      <w:r>
        <w:rPr>
          <w:rFonts w:ascii="Calibri" w:eastAsia="Calibri" w:hAnsi="Calibri"/>
          <w:color w:val="000000"/>
          <w:sz w:val="22"/>
          <w:szCs w:val="22"/>
          <w:lang w:eastAsia="en-US"/>
        </w:rPr>
        <w:t>sugiere la siguiente redacción:</w:t>
      </w:r>
    </w:p>
    <w:p w:rsidR="002E75BF" w:rsidRPr="00202DAB" w:rsidRDefault="002E75BF" w:rsidP="002E75BF">
      <w:pPr>
        <w:ind w:firstLine="720"/>
        <w:jc w:val="both"/>
        <w:rPr>
          <w:rFonts w:ascii="Calibri" w:eastAsia="Calibri" w:hAnsi="Calibri"/>
          <w:sz w:val="22"/>
          <w:szCs w:val="22"/>
          <w:lang w:eastAsia="en-US"/>
        </w:rPr>
      </w:pP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r w:rsidRPr="00202DAB">
        <w:rPr>
          <w:rFonts w:ascii="Calibri" w:eastAsia="Calibri" w:hAnsi="Calibri"/>
          <w:b/>
          <w:i/>
          <w:sz w:val="22"/>
          <w:szCs w:val="22"/>
          <w:lang w:eastAsia="en-US"/>
        </w:rPr>
        <w:t xml:space="preserve"> “La protección conferida a las marcas o nombres comerciales notorios registrados varía sensiblemente con respecto a lo establecido en la normativa anterior. Desaparece la distinción entre marca o nombre comercial notorio y renombrado, previéndose una sola categoría, la del renombre en España, tratándose de una marca española, o del renombre en la Unión Europea, si se tratase de una marca de la Unión”</w:t>
      </w: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rPr>
      </w:pP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r w:rsidRPr="00202DAB">
        <w:rPr>
          <w:rFonts w:ascii="Calibri" w:eastAsia="Calibri" w:hAnsi="Calibri"/>
          <w:b/>
          <w:i/>
          <w:sz w:val="22"/>
          <w:szCs w:val="22"/>
          <w:u w:val="single"/>
          <w:lang w:eastAsia="en-US"/>
        </w:rPr>
        <w:t>Lo anterior no implica la desprotección de las marcas o nombres comerciales antes denominados notorios, que necesariamente deben entenderse protegidos en la nueva redacción del artículo 8.</w:t>
      </w: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r w:rsidRPr="00202DAB">
        <w:rPr>
          <w:rFonts w:ascii="Calibri" w:eastAsia="Calibri" w:hAnsi="Calibri"/>
          <w:b/>
          <w:i/>
          <w:sz w:val="22"/>
          <w:szCs w:val="22"/>
          <w:u w:val="single"/>
          <w:lang w:eastAsia="en-US"/>
        </w:rPr>
        <w:t>“Se entenderá por marcas con renombre aquellas marcas conocidas por una parte significativa del público destinatario de los productos o servicios amparados por ella.</w:t>
      </w: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r w:rsidRPr="00202DAB">
        <w:rPr>
          <w:rFonts w:ascii="Calibri" w:eastAsia="Calibri" w:hAnsi="Calibri"/>
          <w:b/>
          <w:i/>
          <w:sz w:val="22"/>
          <w:szCs w:val="22"/>
          <w:u w:val="single"/>
          <w:lang w:eastAsia="en-US"/>
        </w:rPr>
        <w:t xml:space="preserve">Para la determinación de dicho conocimiento por parte del público se tomarán en consideración, de acuerdo con la jurisprudencia del Tribunal de Justicia de la Unión Europea, todos los elementos pertinentes como por ejemplo la cuota de mercado poseída por la marca, la intensidad, la extensión geográfica y la </w:t>
      </w:r>
      <w:r w:rsidRPr="00202DAB">
        <w:rPr>
          <w:rFonts w:ascii="Calibri" w:eastAsia="Calibri" w:hAnsi="Calibri"/>
          <w:b/>
          <w:i/>
          <w:sz w:val="22"/>
          <w:szCs w:val="22"/>
          <w:u w:val="single"/>
          <w:lang w:eastAsia="en-US"/>
        </w:rPr>
        <w:lastRenderedPageBreak/>
        <w:t>duración de su uso, así como la importancia de las inversiones hechas por la empresa para promocionarla”.</w:t>
      </w: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r w:rsidRPr="00202DAB">
        <w:rPr>
          <w:rFonts w:ascii="Calibri" w:eastAsia="Calibri" w:hAnsi="Calibri"/>
          <w:b/>
          <w:i/>
          <w:sz w:val="22"/>
          <w:szCs w:val="22"/>
          <w:u w:val="single"/>
          <w:lang w:eastAsia="en-US"/>
        </w:rPr>
        <w:t xml:space="preserve">La protección otorgada en el artículo 8, cuando concurran los requisitos previstos en el mismo, alcanzará a productos, servicios o actividades de naturaleza tanto más diferente cuanto mayor sea el grado de conocimiento de la marca con renombre anterior. </w:t>
      </w:r>
    </w:p>
    <w:p w:rsidR="002E75BF" w:rsidRPr="00202DAB" w:rsidRDefault="002E75BF" w:rsidP="00202DAB">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p>
    <w:p w:rsidR="002E75BF" w:rsidRPr="00754B16" w:rsidRDefault="002E75BF" w:rsidP="00754B16">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u w:val="single"/>
          <w:lang w:eastAsia="en-US"/>
        </w:rPr>
      </w:pPr>
      <w:r w:rsidRPr="00202DAB">
        <w:rPr>
          <w:rFonts w:ascii="Calibri" w:eastAsia="Calibri" w:hAnsi="Calibri"/>
          <w:b/>
          <w:i/>
          <w:sz w:val="22"/>
          <w:szCs w:val="22"/>
          <w:u w:val="single"/>
          <w:lang w:eastAsia="en-US"/>
        </w:rPr>
        <w:t xml:space="preserve">Cuando la marca con renombre sea conocida por el público en general, la protección alcanzará a productos, servicios o actividades de naturaleza distinta </w:t>
      </w:r>
      <w:r w:rsidRPr="00D82D82">
        <w:rPr>
          <w:rFonts w:ascii="Calibri" w:eastAsia="Calibri" w:hAnsi="Calibri"/>
          <w:b/>
          <w:i/>
          <w:sz w:val="22"/>
          <w:szCs w:val="22"/>
          <w:u w:val="single"/>
          <w:lang w:eastAsia="en-US"/>
        </w:rPr>
        <w:t xml:space="preserve">al sector pertinente del público al que se destinen los productos, servicios o actividades de </w:t>
      </w:r>
      <w:proofErr w:type="gramStart"/>
      <w:r w:rsidRPr="00D82D82">
        <w:rPr>
          <w:rFonts w:ascii="Calibri" w:eastAsia="Calibri" w:hAnsi="Calibri"/>
          <w:b/>
          <w:i/>
          <w:sz w:val="22"/>
          <w:szCs w:val="22"/>
          <w:u w:val="single"/>
          <w:lang w:eastAsia="en-US"/>
        </w:rPr>
        <w:t>la misma</w:t>
      </w:r>
      <w:proofErr w:type="gramEnd"/>
      <w:r w:rsidRPr="00D82D82">
        <w:rPr>
          <w:rFonts w:ascii="Calibri" w:eastAsia="Calibri" w:hAnsi="Calibri"/>
          <w:b/>
          <w:i/>
          <w:sz w:val="22"/>
          <w:szCs w:val="22"/>
          <w:u w:val="single"/>
          <w:lang w:eastAsia="en-US"/>
        </w:rPr>
        <w:t>.</w:t>
      </w:r>
    </w:p>
    <w:p w:rsidR="00754B16" w:rsidRDefault="00754B16" w:rsidP="00754B16">
      <w:pPr>
        <w:jc w:val="both"/>
        <w:rPr>
          <w:rFonts w:ascii="Calibri" w:eastAsia="Calibri" w:hAnsi="Calibri"/>
          <w:sz w:val="22"/>
          <w:szCs w:val="22"/>
          <w:lang w:eastAsia="en-US"/>
        </w:rPr>
      </w:pPr>
    </w:p>
    <w:p w:rsidR="00754B16" w:rsidRDefault="00754B16" w:rsidP="00754B16">
      <w:pPr>
        <w:jc w:val="both"/>
        <w:rPr>
          <w:rFonts w:ascii="Calibri" w:eastAsia="Calibri" w:hAnsi="Calibri"/>
          <w:sz w:val="22"/>
          <w:szCs w:val="22"/>
          <w:lang w:eastAsia="en-US"/>
        </w:rPr>
      </w:pPr>
    </w:p>
    <w:p w:rsidR="002E75BF" w:rsidRPr="002E75BF" w:rsidRDefault="00754B16" w:rsidP="00754B16">
      <w:pPr>
        <w:jc w:val="both"/>
        <w:rPr>
          <w:rFonts w:ascii="Calibri" w:eastAsia="Calibri" w:hAnsi="Calibri"/>
          <w:sz w:val="22"/>
          <w:szCs w:val="22"/>
          <w:lang w:eastAsia="en-US"/>
        </w:rPr>
      </w:pPr>
      <w:r>
        <w:rPr>
          <w:rFonts w:ascii="Calibri" w:eastAsia="Calibri" w:hAnsi="Calibri"/>
          <w:sz w:val="22"/>
          <w:szCs w:val="22"/>
          <w:lang w:eastAsia="en-US"/>
        </w:rPr>
        <w:t xml:space="preserve">Con ánimo de introducir más claridad, </w:t>
      </w:r>
      <w:r w:rsidR="002E75BF" w:rsidRPr="002E75BF">
        <w:rPr>
          <w:rFonts w:ascii="Calibri" w:eastAsia="Calibri" w:hAnsi="Calibri"/>
          <w:sz w:val="22"/>
          <w:szCs w:val="22"/>
          <w:lang w:eastAsia="en-US"/>
        </w:rPr>
        <w:t xml:space="preserve">se propone sustituir en el apartado 1 de </w:t>
      </w:r>
      <w:r>
        <w:rPr>
          <w:rFonts w:ascii="Calibri" w:eastAsia="Calibri" w:hAnsi="Calibri"/>
          <w:sz w:val="22"/>
          <w:szCs w:val="22"/>
          <w:lang w:eastAsia="en-US"/>
        </w:rPr>
        <w:t xml:space="preserve">del </w:t>
      </w:r>
      <w:r w:rsidR="002E75BF" w:rsidRPr="002E75BF">
        <w:rPr>
          <w:rFonts w:ascii="Calibri" w:eastAsia="Calibri" w:hAnsi="Calibri"/>
          <w:sz w:val="22"/>
          <w:szCs w:val="22"/>
          <w:lang w:eastAsia="en-US"/>
        </w:rPr>
        <w:t xml:space="preserve">artículo 8 </w:t>
      </w:r>
      <w:r w:rsidR="00C15DA5">
        <w:rPr>
          <w:rFonts w:ascii="Calibri" w:eastAsia="Calibri" w:hAnsi="Calibri"/>
          <w:sz w:val="22"/>
          <w:szCs w:val="22"/>
          <w:lang w:eastAsia="en-US"/>
        </w:rPr>
        <w:t xml:space="preserve">de la Ley de Marcas </w:t>
      </w:r>
      <w:r w:rsidR="002E75BF" w:rsidRPr="002E75BF">
        <w:rPr>
          <w:rFonts w:ascii="Calibri" w:eastAsia="Calibri" w:hAnsi="Calibri"/>
          <w:sz w:val="22"/>
          <w:szCs w:val="22"/>
          <w:lang w:eastAsia="en-US"/>
        </w:rPr>
        <w:t>el verbo “pretenda” por “pueda”, cuando se afirma que el uso de la marca anterior sin justa causa “</w:t>
      </w:r>
      <w:r w:rsidR="002E75BF" w:rsidRPr="002E75BF">
        <w:rPr>
          <w:rFonts w:ascii="Calibri" w:eastAsia="Calibri" w:hAnsi="Calibri"/>
          <w:i/>
          <w:sz w:val="22"/>
          <w:szCs w:val="22"/>
          <w:lang w:eastAsia="en-US"/>
        </w:rPr>
        <w:t>se pretenda pueda obtener una ventaja desleal del carácter distintivo</w:t>
      </w:r>
      <w:r w:rsidR="002E75BF" w:rsidRPr="002E75BF">
        <w:rPr>
          <w:rFonts w:ascii="Calibri" w:eastAsia="Calibri" w:hAnsi="Calibri"/>
          <w:sz w:val="22"/>
          <w:szCs w:val="22"/>
          <w:lang w:eastAsia="en-US"/>
        </w:rPr>
        <w:t>”. Entendemos que es un error de traducción puesto que la versión inglesa de la Directiva dice que el uso sin justa causa “</w:t>
      </w:r>
      <w:proofErr w:type="spellStart"/>
      <w:r w:rsidR="002E75BF" w:rsidRPr="002E75BF">
        <w:rPr>
          <w:rFonts w:ascii="Calibri" w:eastAsia="Calibri" w:hAnsi="Calibri"/>
          <w:i/>
          <w:sz w:val="22"/>
          <w:szCs w:val="22"/>
          <w:lang w:eastAsia="en-US"/>
        </w:rPr>
        <w:t>would</w:t>
      </w:r>
      <w:proofErr w:type="spellEnd"/>
      <w:r w:rsidR="002E75BF" w:rsidRPr="002E75BF">
        <w:rPr>
          <w:rFonts w:ascii="Calibri" w:eastAsia="Calibri" w:hAnsi="Calibri"/>
          <w:i/>
          <w:sz w:val="22"/>
          <w:szCs w:val="22"/>
          <w:lang w:eastAsia="en-US"/>
        </w:rPr>
        <w:t xml:space="preserve"> </w:t>
      </w:r>
      <w:proofErr w:type="spellStart"/>
      <w:r w:rsidR="002E75BF" w:rsidRPr="002E75BF">
        <w:rPr>
          <w:rFonts w:ascii="Calibri" w:eastAsia="Calibri" w:hAnsi="Calibri"/>
          <w:i/>
          <w:sz w:val="22"/>
          <w:szCs w:val="22"/>
          <w:lang w:eastAsia="en-US"/>
        </w:rPr>
        <w:t>take</w:t>
      </w:r>
      <w:proofErr w:type="spellEnd"/>
      <w:r w:rsidR="002E75BF" w:rsidRPr="002E75BF">
        <w:rPr>
          <w:rFonts w:ascii="Calibri" w:eastAsia="Calibri" w:hAnsi="Calibri"/>
          <w:i/>
          <w:sz w:val="22"/>
          <w:szCs w:val="22"/>
          <w:lang w:eastAsia="en-US"/>
        </w:rPr>
        <w:t xml:space="preserve"> </w:t>
      </w:r>
      <w:proofErr w:type="spellStart"/>
      <w:r w:rsidR="002E75BF" w:rsidRPr="002E75BF">
        <w:rPr>
          <w:rFonts w:ascii="Calibri" w:eastAsia="Calibri" w:hAnsi="Calibri"/>
          <w:i/>
          <w:sz w:val="22"/>
          <w:szCs w:val="22"/>
          <w:lang w:eastAsia="en-US"/>
        </w:rPr>
        <w:t>unfair</w:t>
      </w:r>
      <w:proofErr w:type="spellEnd"/>
      <w:r w:rsidR="002E75BF" w:rsidRPr="002E75BF">
        <w:rPr>
          <w:rFonts w:ascii="Calibri" w:eastAsia="Calibri" w:hAnsi="Calibri"/>
          <w:i/>
          <w:sz w:val="22"/>
          <w:szCs w:val="22"/>
          <w:lang w:eastAsia="en-US"/>
        </w:rPr>
        <w:t xml:space="preserve"> </w:t>
      </w:r>
      <w:proofErr w:type="spellStart"/>
      <w:r w:rsidR="002E75BF" w:rsidRPr="002E75BF">
        <w:rPr>
          <w:rFonts w:ascii="Calibri" w:eastAsia="Calibri" w:hAnsi="Calibri"/>
          <w:i/>
          <w:sz w:val="22"/>
          <w:szCs w:val="22"/>
          <w:lang w:eastAsia="en-US"/>
        </w:rPr>
        <w:t>advantage</w:t>
      </w:r>
      <w:proofErr w:type="spellEnd"/>
      <w:r w:rsidR="002E75BF" w:rsidRPr="002E75BF">
        <w:rPr>
          <w:rFonts w:ascii="Calibri" w:eastAsia="Calibri" w:hAnsi="Calibri"/>
          <w:sz w:val="22"/>
          <w:szCs w:val="22"/>
          <w:lang w:eastAsia="en-US"/>
        </w:rPr>
        <w:t xml:space="preserve">” no </w:t>
      </w:r>
      <w:proofErr w:type="spellStart"/>
      <w:r w:rsidR="002E75BF" w:rsidRPr="002E75BF">
        <w:rPr>
          <w:rFonts w:ascii="Calibri" w:eastAsia="Calibri" w:hAnsi="Calibri"/>
          <w:sz w:val="22"/>
          <w:szCs w:val="22"/>
          <w:lang w:eastAsia="en-US"/>
        </w:rPr>
        <w:t>requeriere</w:t>
      </w:r>
      <w:proofErr w:type="spellEnd"/>
      <w:r w:rsidR="002E75BF" w:rsidRPr="002E75BF">
        <w:rPr>
          <w:rFonts w:ascii="Calibri" w:eastAsia="Calibri" w:hAnsi="Calibri"/>
          <w:sz w:val="22"/>
          <w:szCs w:val="22"/>
          <w:lang w:eastAsia="en-US"/>
        </w:rPr>
        <w:t xml:space="preserve"> intencionalidad alguna.</w:t>
      </w:r>
    </w:p>
    <w:p w:rsidR="002E75BF" w:rsidRPr="002E75BF" w:rsidRDefault="002E75BF" w:rsidP="002E75BF">
      <w:pPr>
        <w:ind w:firstLine="709"/>
        <w:jc w:val="both"/>
        <w:rPr>
          <w:rFonts w:ascii="Calibri" w:eastAsia="Calibri" w:hAnsi="Calibri"/>
          <w:sz w:val="22"/>
          <w:szCs w:val="22"/>
          <w:lang w:eastAsia="en-US"/>
        </w:rPr>
      </w:pPr>
    </w:p>
    <w:p w:rsidR="002E75BF" w:rsidRPr="002E75BF" w:rsidRDefault="002E75BF" w:rsidP="00202DAB">
      <w:pPr>
        <w:pBdr>
          <w:top w:val="single" w:sz="4" w:space="1" w:color="auto"/>
          <w:left w:val="single" w:sz="4" w:space="4" w:color="auto"/>
          <w:bottom w:val="single" w:sz="4" w:space="0" w:color="auto"/>
          <w:right w:val="single" w:sz="4" w:space="4" w:color="auto"/>
        </w:pBdr>
        <w:shd w:val="clear" w:color="auto" w:fill="00B0F0"/>
        <w:ind w:firstLine="709"/>
        <w:jc w:val="both"/>
        <w:rPr>
          <w:rFonts w:ascii="Calibri" w:eastAsia="Calibri" w:hAnsi="Calibri"/>
          <w:b/>
          <w:sz w:val="22"/>
          <w:szCs w:val="22"/>
          <w:lang w:eastAsia="en-US"/>
        </w:rPr>
      </w:pPr>
    </w:p>
    <w:p w:rsidR="002E75BF" w:rsidRPr="002E75BF" w:rsidRDefault="002E75BF" w:rsidP="00202DAB">
      <w:pPr>
        <w:pBdr>
          <w:top w:val="single" w:sz="4" w:space="1" w:color="auto"/>
          <w:left w:val="single" w:sz="4" w:space="4" w:color="auto"/>
          <w:bottom w:val="single" w:sz="4" w:space="0" w:color="auto"/>
          <w:right w:val="single" w:sz="4" w:space="4" w:color="auto"/>
        </w:pBdr>
        <w:shd w:val="clear" w:color="auto" w:fill="00B0F0"/>
        <w:ind w:firstLine="709"/>
        <w:jc w:val="both"/>
        <w:rPr>
          <w:rFonts w:ascii="Calibri" w:eastAsia="Calibri" w:hAnsi="Calibri"/>
          <w:b/>
          <w:i/>
          <w:sz w:val="22"/>
          <w:szCs w:val="22"/>
          <w:lang w:eastAsia="en-US"/>
        </w:rPr>
      </w:pPr>
      <w:r w:rsidRPr="002E75BF">
        <w:rPr>
          <w:rFonts w:ascii="Calibri" w:eastAsia="Calibri" w:hAnsi="Calibri"/>
          <w:b/>
          <w:i/>
          <w:sz w:val="22"/>
          <w:szCs w:val="22"/>
          <w:lang w:eastAsia="en-US"/>
        </w:rPr>
        <w:t>“1. Una marca no podrá ser registrada, o en caso de estar registrada, podrá ser declarada nula cuando:</w:t>
      </w:r>
    </w:p>
    <w:p w:rsidR="002E75BF" w:rsidRPr="002E75BF" w:rsidRDefault="002E75BF" w:rsidP="00202DAB">
      <w:pPr>
        <w:pBdr>
          <w:top w:val="single" w:sz="4" w:space="1" w:color="auto"/>
          <w:left w:val="single" w:sz="4" w:space="4" w:color="auto"/>
          <w:bottom w:val="single" w:sz="4" w:space="0" w:color="auto"/>
          <w:right w:val="single" w:sz="4" w:space="4" w:color="auto"/>
        </w:pBdr>
        <w:shd w:val="clear" w:color="auto" w:fill="00B0F0"/>
        <w:ind w:firstLine="709"/>
        <w:jc w:val="both"/>
        <w:rPr>
          <w:rFonts w:ascii="Calibri" w:eastAsia="Calibri" w:hAnsi="Calibri"/>
          <w:b/>
          <w:i/>
          <w:sz w:val="22"/>
          <w:szCs w:val="22"/>
          <w:lang w:eastAsia="en-US"/>
        </w:rPr>
      </w:pPr>
    </w:p>
    <w:p w:rsidR="002E75BF" w:rsidRPr="002E75BF" w:rsidRDefault="002E75BF" w:rsidP="00202DAB">
      <w:pPr>
        <w:pBdr>
          <w:top w:val="single" w:sz="4" w:space="1" w:color="auto"/>
          <w:left w:val="single" w:sz="4" w:space="4" w:color="auto"/>
          <w:bottom w:val="single" w:sz="4" w:space="0" w:color="auto"/>
          <w:right w:val="single" w:sz="4" w:space="4" w:color="auto"/>
        </w:pBdr>
        <w:shd w:val="clear" w:color="auto" w:fill="00B0F0"/>
        <w:jc w:val="both"/>
        <w:rPr>
          <w:rFonts w:ascii="Calibri" w:eastAsia="Calibri" w:hAnsi="Calibri"/>
          <w:b/>
          <w:i/>
          <w:sz w:val="22"/>
          <w:szCs w:val="22"/>
          <w:lang w:eastAsia="en-US"/>
        </w:rPr>
      </w:pPr>
      <w:r w:rsidRPr="002E75BF">
        <w:rPr>
          <w:rFonts w:ascii="Calibri" w:eastAsia="Calibri" w:hAnsi="Calibri"/>
          <w:b/>
          <w:i/>
          <w:sz w:val="22"/>
          <w:szCs w:val="22"/>
          <w:lang w:eastAsia="en-US"/>
        </w:rPr>
        <w:t>Sea idéntica o similar a una marca anterior, independientemente de los bienes o servicios para los cuales solicite protección o esté registrada, y aunque éstos sean o no similares a aquellos bienes o servicios para los cuales la marca anterior está registrada, siempre que la marca anterior goce de renombre en España, o en el caso de marcas de la Unión Europea, que gocen de renombre en una parte sustancial de la Unión, o en todo el territorio de un Estado Miembro, cuando en cualquiera de los dos casos, el uso de la marca posterior pueda indicar una conexión entre los productos o servicios amparados por la misma y el titular de la marca renombrada, o, en general, cuando ese uso, realizado sin justa causa, pueda implicar un aprovechamiento indebido o un menoscabo del carácter distintivo o del renombre de dichos signos anteriores.</w:t>
      </w:r>
    </w:p>
    <w:p w:rsidR="002E75BF" w:rsidRPr="002E75BF" w:rsidRDefault="002E75BF" w:rsidP="00202DAB">
      <w:pPr>
        <w:pBdr>
          <w:top w:val="single" w:sz="4" w:space="1" w:color="auto"/>
          <w:left w:val="single" w:sz="4" w:space="4" w:color="auto"/>
          <w:bottom w:val="single" w:sz="4" w:space="0" w:color="auto"/>
          <w:right w:val="single" w:sz="4" w:space="4" w:color="auto"/>
        </w:pBdr>
        <w:shd w:val="clear" w:color="auto" w:fill="00B0F0"/>
        <w:ind w:firstLine="709"/>
        <w:jc w:val="both"/>
        <w:rPr>
          <w:rFonts w:ascii="Calibri" w:eastAsia="Calibri" w:hAnsi="Calibri"/>
          <w:b/>
          <w:i/>
          <w:sz w:val="22"/>
          <w:szCs w:val="22"/>
          <w:lang w:eastAsia="en-US"/>
        </w:rPr>
      </w:pPr>
    </w:p>
    <w:p w:rsidR="002E75BF" w:rsidRPr="002E75BF" w:rsidRDefault="002E75BF" w:rsidP="00202DAB">
      <w:pPr>
        <w:pBdr>
          <w:top w:val="single" w:sz="4" w:space="1" w:color="auto"/>
          <w:left w:val="single" w:sz="4" w:space="4" w:color="auto"/>
          <w:bottom w:val="single" w:sz="4" w:space="0" w:color="auto"/>
          <w:right w:val="single" w:sz="4" w:space="4" w:color="auto"/>
        </w:pBdr>
        <w:shd w:val="clear" w:color="auto" w:fill="00B0F0"/>
        <w:ind w:firstLine="709"/>
        <w:jc w:val="both"/>
        <w:rPr>
          <w:rFonts w:ascii="Calibri" w:eastAsia="Calibri" w:hAnsi="Calibri"/>
          <w:b/>
          <w:sz w:val="22"/>
          <w:szCs w:val="22"/>
          <w:lang w:eastAsia="en-US"/>
        </w:rPr>
      </w:pPr>
      <w:r w:rsidRPr="002E75BF">
        <w:rPr>
          <w:rFonts w:ascii="Calibri" w:eastAsia="Calibri" w:hAnsi="Calibri"/>
          <w:b/>
          <w:i/>
          <w:sz w:val="22"/>
          <w:szCs w:val="22"/>
          <w:lang w:eastAsia="en-US"/>
        </w:rPr>
        <w:t>2. A los efectos de esta Ley, se entenderá por marca renombrada la que, por su volumen de ventas, duración, intensidad o alcance geográfico de su uso, valoración o prestigio alcanzado en el mercado o por cualquier otra causa, sean generalmente conocidos por el sector pertinente del público al que se destinan los productos, servicios o actividades que distinguen dicha marca. La protección otorgada en el apartado 1, cuando concurran los requisitos previstos en el mismo, alcanzará a productos, servicios o actividades de naturaleza tanto más diferente cuanto mayor sea el grado de conocimiento de la marca renombrada en el sector pertinente del público o en otros sectores relacionados.</w:t>
      </w:r>
    </w:p>
    <w:p w:rsidR="002E75BF" w:rsidRPr="002E75BF" w:rsidRDefault="002E75BF" w:rsidP="002E75BF">
      <w:pPr>
        <w:jc w:val="both"/>
        <w:rPr>
          <w:rFonts w:ascii="Calibri" w:eastAsia="Calibri" w:hAnsi="Calibri"/>
          <w:b/>
          <w:sz w:val="22"/>
          <w:szCs w:val="22"/>
          <w:u w:val="single"/>
          <w:lang w:eastAsia="en-US"/>
        </w:rPr>
      </w:pPr>
    </w:p>
    <w:p w:rsidR="002E75BF" w:rsidRDefault="002E75BF" w:rsidP="002E75BF">
      <w:pPr>
        <w:jc w:val="both"/>
        <w:rPr>
          <w:rFonts w:ascii="Calibri" w:eastAsia="Calibri" w:hAnsi="Calibri"/>
          <w:b/>
          <w:sz w:val="22"/>
          <w:szCs w:val="22"/>
          <w:u w:val="single"/>
          <w:lang w:eastAsia="en-US"/>
        </w:rPr>
      </w:pPr>
    </w:p>
    <w:p w:rsidR="0016442D" w:rsidRDefault="0016442D" w:rsidP="002E75BF">
      <w:pPr>
        <w:jc w:val="both"/>
        <w:rPr>
          <w:rFonts w:ascii="Calibri" w:eastAsia="Calibri" w:hAnsi="Calibri"/>
          <w:b/>
          <w:sz w:val="22"/>
          <w:szCs w:val="22"/>
          <w:u w:val="single"/>
          <w:lang w:eastAsia="en-US"/>
        </w:rPr>
      </w:pPr>
    </w:p>
    <w:p w:rsidR="0016442D" w:rsidRDefault="0016442D" w:rsidP="002E75BF">
      <w:pPr>
        <w:jc w:val="both"/>
        <w:rPr>
          <w:rFonts w:ascii="Calibri" w:eastAsia="Calibri" w:hAnsi="Calibri"/>
          <w:b/>
          <w:sz w:val="22"/>
          <w:szCs w:val="22"/>
          <w:u w:val="single"/>
          <w:lang w:eastAsia="en-US"/>
        </w:rPr>
      </w:pPr>
    </w:p>
    <w:p w:rsidR="0016442D" w:rsidRDefault="0016442D" w:rsidP="002E75BF">
      <w:pPr>
        <w:jc w:val="both"/>
        <w:rPr>
          <w:rFonts w:ascii="Calibri" w:eastAsia="Calibri" w:hAnsi="Calibri"/>
          <w:b/>
          <w:sz w:val="22"/>
          <w:szCs w:val="22"/>
          <w:u w:val="single"/>
          <w:lang w:eastAsia="en-US"/>
        </w:rPr>
      </w:pPr>
    </w:p>
    <w:p w:rsidR="00C96B42" w:rsidRPr="00202DAB" w:rsidRDefault="00C15DA5" w:rsidP="00C96B42">
      <w:pPr>
        <w:jc w:val="both"/>
        <w:rPr>
          <w:rFonts w:ascii="Calibri" w:eastAsia="Calibri" w:hAnsi="Calibri"/>
          <w:sz w:val="22"/>
          <w:szCs w:val="22"/>
          <w:lang w:eastAsia="en-US"/>
        </w:rPr>
      </w:pPr>
      <w:r>
        <w:rPr>
          <w:rFonts w:ascii="Calibri" w:eastAsia="Calibri" w:hAnsi="Calibri"/>
          <w:b/>
          <w:sz w:val="22"/>
          <w:szCs w:val="22"/>
          <w:u w:val="single"/>
          <w:lang w:eastAsia="en-US"/>
        </w:rPr>
        <w:t>COMPETENCIA PARA DECLARAR LA NULIDAD Y CADUCIDAD DE UNA MARCA</w:t>
      </w:r>
      <w:r w:rsidR="00C96B42">
        <w:rPr>
          <w:rFonts w:ascii="Calibri" w:eastAsia="Calibri" w:hAnsi="Calibri"/>
          <w:sz w:val="22"/>
          <w:szCs w:val="22"/>
          <w:lang w:eastAsia="en-US"/>
        </w:rPr>
        <w:t xml:space="preserve">. </w:t>
      </w:r>
      <w:r w:rsidR="00C96B42" w:rsidRPr="00C96B42">
        <w:rPr>
          <w:rFonts w:ascii="Calibri" w:eastAsia="Calibri" w:hAnsi="Calibri"/>
          <w:b/>
          <w:sz w:val="22"/>
          <w:szCs w:val="22"/>
          <w:u w:val="single"/>
          <w:lang w:eastAsia="en-US"/>
        </w:rPr>
        <w:t>ELECCIÓN DEL DEMANDANTE Y EL DEMANDADO DE PLANTEAR LA CORRESPONDIENTE ACCIÓN DE NULIDAD O CADUCIDAD, BIEN ANTE LOS ÓRGANOS ADMINISTRATIVOS, BIEN ANTE LA SEDE JUDICIAL.</w:t>
      </w:r>
    </w:p>
    <w:p w:rsidR="00C15DA5" w:rsidRPr="002E75BF" w:rsidRDefault="00C15DA5" w:rsidP="002E75BF">
      <w:pPr>
        <w:jc w:val="both"/>
        <w:rPr>
          <w:rFonts w:ascii="Calibri" w:eastAsia="Calibri" w:hAnsi="Calibri"/>
          <w:b/>
          <w:sz w:val="22"/>
          <w:szCs w:val="22"/>
          <w:u w:val="single"/>
          <w:lang w:eastAsia="en-US"/>
        </w:rPr>
      </w:pPr>
    </w:p>
    <w:p w:rsidR="002E75BF" w:rsidRDefault="002E75BF" w:rsidP="002E75BF">
      <w:pPr>
        <w:jc w:val="both"/>
        <w:rPr>
          <w:rFonts w:ascii="Calibri" w:eastAsia="Calibri" w:hAnsi="Calibri"/>
          <w:b/>
          <w:sz w:val="22"/>
          <w:szCs w:val="22"/>
          <w:lang w:eastAsia="en-US"/>
        </w:rPr>
      </w:pPr>
    </w:p>
    <w:p w:rsidR="00202DAB" w:rsidRPr="00202DAB" w:rsidRDefault="00202DAB" w:rsidP="00202DAB">
      <w:pPr>
        <w:jc w:val="both"/>
        <w:rPr>
          <w:rFonts w:ascii="Calibri" w:eastAsia="Calibri" w:hAnsi="Calibri"/>
          <w:sz w:val="22"/>
          <w:szCs w:val="22"/>
          <w:lang w:eastAsia="en-US"/>
        </w:rPr>
      </w:pPr>
      <w:r w:rsidRPr="00202DAB">
        <w:rPr>
          <w:rFonts w:ascii="Calibri" w:eastAsia="Calibri" w:hAnsi="Calibri"/>
          <w:sz w:val="22"/>
          <w:szCs w:val="22"/>
          <w:lang w:eastAsia="en-US"/>
        </w:rPr>
        <w:t xml:space="preserve">El artículo 38 </w:t>
      </w:r>
      <w:r>
        <w:rPr>
          <w:rFonts w:ascii="Calibri" w:eastAsia="Calibri" w:hAnsi="Calibri"/>
          <w:sz w:val="22"/>
          <w:szCs w:val="22"/>
          <w:lang w:eastAsia="en-US"/>
        </w:rPr>
        <w:t xml:space="preserve">del Proyecto de Ley </w:t>
      </w:r>
      <w:r w:rsidR="00C15DA5">
        <w:rPr>
          <w:rFonts w:ascii="Calibri" w:eastAsia="Calibri" w:hAnsi="Calibri"/>
          <w:sz w:val="22"/>
          <w:szCs w:val="22"/>
          <w:lang w:eastAsia="en-US"/>
        </w:rPr>
        <w:t>de modificación de la Ley de Marcas s</w:t>
      </w:r>
      <w:r w:rsidRPr="00202DAB">
        <w:rPr>
          <w:rFonts w:ascii="Calibri" w:eastAsia="Calibri" w:hAnsi="Calibri"/>
          <w:sz w:val="22"/>
          <w:szCs w:val="22"/>
          <w:lang w:eastAsia="en-US"/>
        </w:rPr>
        <w:t xml:space="preserve">eñala que la competencia única para declarar la nulidad y caducidad de una marca corresponde a la Oficina Española de Patentes y Marcas en vía directa, concediendo una atribución de competencias residual a la jurisdicción civil para los casos en los </w:t>
      </w:r>
      <w:proofErr w:type="gramStart"/>
      <w:r w:rsidRPr="00202DAB">
        <w:rPr>
          <w:rFonts w:ascii="Calibri" w:eastAsia="Calibri" w:hAnsi="Calibri"/>
          <w:sz w:val="22"/>
          <w:szCs w:val="22"/>
          <w:lang w:eastAsia="en-US"/>
        </w:rPr>
        <w:t>que</w:t>
      </w:r>
      <w:proofErr w:type="gramEnd"/>
      <w:r w:rsidRPr="00202DAB">
        <w:rPr>
          <w:rFonts w:ascii="Calibri" w:eastAsia="Calibri" w:hAnsi="Calibri"/>
          <w:sz w:val="22"/>
          <w:szCs w:val="22"/>
          <w:lang w:eastAsia="en-US"/>
        </w:rPr>
        <w:t xml:space="preserve"> existiendo una demanda de infracción de marcas, la parte demandada decida plantear una cuestión de nulidad o caducidad de la marca de la demandante en vía de reconvención.</w:t>
      </w:r>
    </w:p>
    <w:p w:rsidR="00202DAB" w:rsidRPr="00202DAB" w:rsidRDefault="00202DAB" w:rsidP="00202DAB">
      <w:pPr>
        <w:ind w:firstLine="709"/>
        <w:jc w:val="both"/>
        <w:rPr>
          <w:rFonts w:ascii="Calibri" w:eastAsia="Calibri" w:hAnsi="Calibri"/>
          <w:sz w:val="22"/>
          <w:szCs w:val="22"/>
          <w:lang w:eastAsia="en-US"/>
        </w:rPr>
      </w:pPr>
    </w:p>
    <w:p w:rsidR="00202DAB" w:rsidRPr="00202DAB" w:rsidRDefault="00202DAB" w:rsidP="00202DAB">
      <w:pPr>
        <w:jc w:val="both"/>
        <w:rPr>
          <w:rFonts w:ascii="Calibri" w:eastAsia="Calibri" w:hAnsi="Calibri"/>
          <w:sz w:val="22"/>
          <w:szCs w:val="22"/>
          <w:lang w:eastAsia="en-US"/>
        </w:rPr>
      </w:pPr>
      <w:r w:rsidRPr="00202DAB">
        <w:rPr>
          <w:rFonts w:ascii="Calibri" w:eastAsia="Calibri" w:hAnsi="Calibri"/>
          <w:sz w:val="22"/>
          <w:szCs w:val="22"/>
          <w:lang w:eastAsia="en-US"/>
        </w:rPr>
        <w:t xml:space="preserve">La adopción de esta regulación en los términos que propone el Proyecto de Ley </w:t>
      </w:r>
      <w:proofErr w:type="gramStart"/>
      <w:r w:rsidRPr="00202DAB">
        <w:rPr>
          <w:rFonts w:ascii="Calibri" w:eastAsia="Calibri" w:hAnsi="Calibri"/>
          <w:sz w:val="22"/>
          <w:szCs w:val="22"/>
          <w:lang w:eastAsia="en-US"/>
        </w:rPr>
        <w:t>podrían</w:t>
      </w:r>
      <w:proofErr w:type="gramEnd"/>
      <w:r w:rsidRPr="00202DAB">
        <w:rPr>
          <w:rFonts w:ascii="Calibri" w:eastAsia="Calibri" w:hAnsi="Calibri"/>
          <w:sz w:val="22"/>
          <w:szCs w:val="22"/>
          <w:lang w:eastAsia="en-US"/>
        </w:rPr>
        <w:t xml:space="preserve"> contravenir el espíritu de la Directiva</w:t>
      </w:r>
      <w:r w:rsidRPr="00202DAB">
        <w:t xml:space="preserve"> </w:t>
      </w:r>
      <w:r w:rsidRPr="00202DAB">
        <w:rPr>
          <w:rFonts w:ascii="Calibri" w:eastAsia="Calibri" w:hAnsi="Calibri"/>
          <w:sz w:val="22"/>
          <w:szCs w:val="22"/>
          <w:lang w:eastAsia="en-US"/>
        </w:rPr>
        <w:t>(UE) 2015/2436, de 16 de diciembre de 2015, relativa a la aproximación de las legislaciones de los Estados miembros en materia de marcas, en tanto en cuanto su artículo 45 establece:</w:t>
      </w:r>
    </w:p>
    <w:p w:rsidR="00202DAB" w:rsidRPr="00202DAB" w:rsidRDefault="00202DAB" w:rsidP="00202DAB">
      <w:pPr>
        <w:ind w:firstLine="709"/>
        <w:jc w:val="both"/>
        <w:rPr>
          <w:rFonts w:ascii="Calibri" w:eastAsia="Calibri" w:hAnsi="Calibri"/>
          <w:sz w:val="22"/>
          <w:szCs w:val="22"/>
          <w:lang w:eastAsia="en-US"/>
        </w:rPr>
      </w:pPr>
    </w:p>
    <w:p w:rsidR="00202DAB" w:rsidRPr="00202DAB" w:rsidRDefault="00202DAB" w:rsidP="00202DAB">
      <w:pPr>
        <w:ind w:left="709" w:right="566"/>
        <w:jc w:val="both"/>
        <w:rPr>
          <w:rFonts w:ascii="Calibri" w:eastAsia="Calibri" w:hAnsi="Calibri"/>
          <w:i/>
          <w:sz w:val="22"/>
          <w:szCs w:val="22"/>
          <w:lang w:eastAsia="en-US"/>
        </w:rPr>
      </w:pPr>
      <w:r w:rsidRPr="00202DAB">
        <w:rPr>
          <w:rFonts w:ascii="Calibri" w:eastAsia="Calibri" w:hAnsi="Calibri"/>
          <w:i/>
          <w:sz w:val="22"/>
          <w:szCs w:val="22"/>
          <w:lang w:eastAsia="en-US"/>
        </w:rPr>
        <w:t>“1.   Sin perjuicio del derecho de las partes a recurrir ante los órganos jurisdiccionales, los Estados miembros establecerán un procedimiento administrativo eficiente y expeditivo que permita solicitar a las oficinas la declaración de caducidad o de nulidad de una marca.”</w:t>
      </w:r>
    </w:p>
    <w:p w:rsidR="00202DAB" w:rsidRPr="00202DAB" w:rsidRDefault="00202DAB" w:rsidP="00202DAB">
      <w:pPr>
        <w:ind w:firstLine="709"/>
        <w:jc w:val="both"/>
        <w:rPr>
          <w:rFonts w:ascii="Calibri" w:eastAsia="Calibri" w:hAnsi="Calibri"/>
          <w:sz w:val="22"/>
          <w:szCs w:val="22"/>
          <w:lang w:eastAsia="en-US"/>
        </w:rPr>
      </w:pPr>
    </w:p>
    <w:p w:rsidR="00202DAB" w:rsidRPr="00202DAB" w:rsidRDefault="00202DAB" w:rsidP="00202DAB">
      <w:pPr>
        <w:jc w:val="both"/>
        <w:rPr>
          <w:rFonts w:ascii="Calibri" w:eastAsia="Calibri" w:hAnsi="Calibri"/>
          <w:sz w:val="22"/>
          <w:szCs w:val="22"/>
          <w:lang w:eastAsia="en-US"/>
        </w:rPr>
      </w:pPr>
      <w:r w:rsidRPr="00202DAB">
        <w:rPr>
          <w:rFonts w:ascii="Calibri" w:eastAsia="Calibri" w:hAnsi="Calibri"/>
          <w:sz w:val="22"/>
          <w:szCs w:val="22"/>
          <w:lang w:eastAsia="en-US"/>
        </w:rPr>
        <w:t>La Directiva, que a la postre es la norma que este Proyecto de Ley pretende trasponer, no limita que las partes –tanto demandante como demandado- puedan acudir a un procedimiento en el ordenamiento judicial para litigar sobre la caducidad o la nulidad de una marca. La Directiva al enunciar la frase “</w:t>
      </w:r>
      <w:r w:rsidRPr="00202DAB">
        <w:rPr>
          <w:rFonts w:ascii="Calibri" w:eastAsia="Calibri" w:hAnsi="Calibri"/>
          <w:i/>
          <w:sz w:val="22"/>
          <w:szCs w:val="22"/>
          <w:lang w:eastAsia="en-US"/>
        </w:rPr>
        <w:t>Sin perjuicio del derecho de las partes a recurrir ante los órganos jurisdiccionales”</w:t>
      </w:r>
      <w:r w:rsidRPr="00202DAB">
        <w:rPr>
          <w:rFonts w:ascii="Calibri" w:eastAsia="Calibri" w:hAnsi="Calibri"/>
          <w:sz w:val="22"/>
          <w:szCs w:val="22"/>
          <w:lang w:eastAsia="en-US"/>
        </w:rPr>
        <w:t xml:space="preserve"> establece que se deberá ofrecer una garantía mínima de que éstas podrán acudir a la vía administrativa, pero no de manera exclusiva y excluyente, para ejercitar sus derechos. </w:t>
      </w:r>
    </w:p>
    <w:p w:rsidR="00202DAB" w:rsidRPr="00202DAB" w:rsidRDefault="00202DAB" w:rsidP="00202DAB">
      <w:pPr>
        <w:ind w:firstLine="709"/>
        <w:jc w:val="both"/>
        <w:rPr>
          <w:rFonts w:ascii="Calibri" w:eastAsia="Calibri" w:hAnsi="Calibri"/>
          <w:sz w:val="22"/>
          <w:szCs w:val="22"/>
          <w:lang w:eastAsia="en-US"/>
        </w:rPr>
      </w:pPr>
    </w:p>
    <w:p w:rsidR="00202DAB" w:rsidRPr="00202DAB" w:rsidRDefault="00202DAB" w:rsidP="00202DAB">
      <w:pPr>
        <w:jc w:val="both"/>
        <w:rPr>
          <w:rFonts w:ascii="Calibri" w:eastAsia="Calibri" w:hAnsi="Calibri"/>
          <w:sz w:val="22"/>
          <w:szCs w:val="22"/>
          <w:lang w:eastAsia="en-US"/>
        </w:rPr>
      </w:pPr>
      <w:r w:rsidRPr="00202DAB">
        <w:rPr>
          <w:rFonts w:ascii="Calibri" w:eastAsia="Calibri" w:hAnsi="Calibri"/>
          <w:sz w:val="22"/>
          <w:szCs w:val="22"/>
          <w:lang w:eastAsia="en-US"/>
        </w:rPr>
        <w:t>Bajo este sistema, la regulación que hace el artículo 38 del Proyecto de Ley constriñe la acción de caducidad o nulidad del demandante al orden administrativo, mientras que el demandado podrá, en virtud de esta norma, gozar de la acción de nulidad o caducidad tanto en los tribunales, como ante la Oficina Española de Patentes y Marcas concediendo a este segundo una ventaja legal no justificada en derecho.</w:t>
      </w:r>
    </w:p>
    <w:p w:rsidR="00202DAB" w:rsidRPr="00202DAB" w:rsidRDefault="00202DAB" w:rsidP="00202DAB">
      <w:pPr>
        <w:ind w:firstLine="709"/>
        <w:jc w:val="both"/>
        <w:rPr>
          <w:rFonts w:ascii="Calibri" w:eastAsia="Calibri" w:hAnsi="Calibri"/>
          <w:sz w:val="22"/>
          <w:szCs w:val="22"/>
          <w:lang w:eastAsia="en-US"/>
        </w:rPr>
      </w:pPr>
    </w:p>
    <w:p w:rsidR="00202DAB" w:rsidRPr="00202DAB" w:rsidRDefault="00202DAB" w:rsidP="00202DAB">
      <w:pPr>
        <w:jc w:val="both"/>
        <w:rPr>
          <w:rFonts w:ascii="Calibri" w:eastAsia="Calibri" w:hAnsi="Calibri"/>
          <w:sz w:val="22"/>
          <w:szCs w:val="22"/>
          <w:lang w:eastAsia="en-US"/>
        </w:rPr>
      </w:pPr>
      <w:r w:rsidRPr="00202DAB">
        <w:rPr>
          <w:rFonts w:ascii="Calibri" w:eastAsia="Calibri" w:hAnsi="Calibri"/>
          <w:sz w:val="22"/>
          <w:szCs w:val="22"/>
          <w:lang w:eastAsia="en-US"/>
        </w:rPr>
        <w:t>Un demandante, por tanto, se verá perjudicado bajo esta nueva regulación, en tanto en cuanto, no podrá presentar una demanda ante el orden jurisdiccional en la que solicite de manera conjunta la declaración de infracción contra la marca objeto de litigio, así como la caducidad o nulidad de este signo distintivo presuntamente infractor.</w:t>
      </w:r>
    </w:p>
    <w:p w:rsidR="00202DAB" w:rsidRPr="00202DAB" w:rsidRDefault="00202DAB" w:rsidP="00202DAB">
      <w:pPr>
        <w:ind w:firstLine="709"/>
        <w:jc w:val="both"/>
        <w:rPr>
          <w:rFonts w:ascii="Calibri" w:eastAsia="Calibri" w:hAnsi="Calibri"/>
          <w:sz w:val="22"/>
          <w:szCs w:val="22"/>
          <w:lang w:eastAsia="en-US"/>
        </w:rPr>
      </w:pPr>
    </w:p>
    <w:p w:rsidR="00202DAB" w:rsidRPr="00202DAB" w:rsidRDefault="00202DAB" w:rsidP="00202DAB">
      <w:pPr>
        <w:jc w:val="both"/>
        <w:rPr>
          <w:rFonts w:ascii="Calibri" w:eastAsia="Calibri" w:hAnsi="Calibri"/>
          <w:sz w:val="22"/>
          <w:szCs w:val="22"/>
          <w:lang w:eastAsia="en-US"/>
        </w:rPr>
      </w:pPr>
      <w:r w:rsidRPr="00202DAB">
        <w:rPr>
          <w:rFonts w:ascii="Calibri" w:eastAsia="Calibri" w:hAnsi="Calibri"/>
          <w:sz w:val="22"/>
          <w:szCs w:val="22"/>
          <w:lang w:eastAsia="en-US"/>
        </w:rPr>
        <w:t>Nos encontramos, por tanto, ante una norma de mínimos que no debe perjudicar la acción y elección del demandante y el demandado de plantear la correspondiente acción de nulidad o caducidad, bien ante los órganos administrativos, bien ante la sede judicial.</w:t>
      </w:r>
    </w:p>
    <w:p w:rsidR="00202DAB" w:rsidRPr="00202DAB" w:rsidRDefault="00202DAB" w:rsidP="00202DAB">
      <w:pPr>
        <w:ind w:firstLine="709"/>
        <w:jc w:val="both"/>
        <w:rPr>
          <w:rFonts w:ascii="Calibri" w:eastAsia="Calibri" w:hAnsi="Calibri"/>
          <w:sz w:val="22"/>
          <w:szCs w:val="22"/>
          <w:lang w:eastAsia="en-US"/>
        </w:rPr>
      </w:pPr>
    </w:p>
    <w:p w:rsidR="00202DAB" w:rsidRPr="00202DAB" w:rsidRDefault="00202DAB" w:rsidP="00202DAB">
      <w:pPr>
        <w:jc w:val="both"/>
        <w:rPr>
          <w:rFonts w:ascii="Calibri" w:eastAsia="Calibri" w:hAnsi="Calibri"/>
          <w:sz w:val="22"/>
          <w:szCs w:val="22"/>
          <w:lang w:eastAsia="en-US"/>
        </w:rPr>
      </w:pPr>
      <w:r w:rsidRPr="00202DAB">
        <w:rPr>
          <w:rFonts w:ascii="Calibri" w:eastAsia="Calibri" w:hAnsi="Calibri"/>
          <w:color w:val="000000"/>
          <w:sz w:val="22"/>
          <w:szCs w:val="22"/>
          <w:lang w:eastAsia="en-US"/>
        </w:rPr>
        <w:t xml:space="preserve">Por tanto, </w:t>
      </w:r>
      <w:r>
        <w:rPr>
          <w:rFonts w:ascii="Calibri" w:eastAsia="Calibri" w:hAnsi="Calibri"/>
          <w:color w:val="000000"/>
          <w:sz w:val="22"/>
          <w:szCs w:val="22"/>
          <w:lang w:eastAsia="en-US"/>
        </w:rPr>
        <w:t xml:space="preserve">CEFI </w:t>
      </w:r>
      <w:r w:rsidRPr="00202DAB">
        <w:rPr>
          <w:rFonts w:ascii="Calibri" w:eastAsia="Calibri" w:hAnsi="Calibri"/>
          <w:color w:val="000000"/>
          <w:sz w:val="22"/>
          <w:szCs w:val="22"/>
          <w:lang w:eastAsia="en-US"/>
        </w:rPr>
        <w:t xml:space="preserve">sugiere la siguiente redacción al </w:t>
      </w:r>
      <w:r w:rsidRPr="00202DAB">
        <w:rPr>
          <w:rFonts w:ascii="Calibri" w:eastAsia="Calibri" w:hAnsi="Calibri"/>
          <w:sz w:val="22"/>
          <w:szCs w:val="22"/>
          <w:lang w:eastAsia="en-US"/>
        </w:rPr>
        <w:t>hilo de lo anterior se hace necesario modificar también el Preámbulo VII, Preámbulo VIII, el Preámbulo XII y el Preámbulo XIV, además de los artículos 51, 52, 54, 58, 59, 61, 61 bis, 61 ter, 66, 67, 72 y 73 que se pretenden introducir en la nueva Ley de Marcas, para ajustarse a la propuesta planteada por ANDEMA, debiendo quedar bajo la siguiente redacción:</w:t>
      </w:r>
    </w:p>
    <w:p w:rsidR="00202DAB" w:rsidRDefault="00202DAB" w:rsidP="0016442D">
      <w:pPr>
        <w:jc w:val="both"/>
        <w:rPr>
          <w:rFonts w:ascii="Calibri" w:eastAsia="Calibri" w:hAnsi="Calibri"/>
          <w:sz w:val="22"/>
          <w:szCs w:val="22"/>
          <w:lang w:eastAsia="en-US"/>
        </w:rPr>
      </w:pPr>
    </w:p>
    <w:p w:rsidR="00202DAB" w:rsidRPr="00202DAB" w:rsidRDefault="00202DAB" w:rsidP="00202DAB">
      <w:pPr>
        <w:ind w:firstLine="720"/>
        <w:jc w:val="both"/>
        <w:rPr>
          <w:rFonts w:ascii="Calibri" w:eastAsia="Calibri" w:hAnsi="Calibri"/>
          <w:sz w:val="22"/>
          <w:szCs w:val="22"/>
          <w:lang w:eastAsia="en-US"/>
        </w:rPr>
      </w:pPr>
    </w:p>
    <w:tbl>
      <w:tblPr>
        <w:tblStyle w:val="Tablaconcuadrcula1"/>
        <w:tblW w:w="0" w:type="auto"/>
        <w:tblLook w:val="04A0" w:firstRow="1" w:lastRow="0" w:firstColumn="1" w:lastColumn="0" w:noHBand="0" w:noVBand="1"/>
      </w:tblPr>
      <w:tblGrid>
        <w:gridCol w:w="4247"/>
        <w:gridCol w:w="4247"/>
      </w:tblGrid>
      <w:tr w:rsidR="00202DAB" w:rsidRPr="00202DAB" w:rsidTr="00F41E1C">
        <w:tc>
          <w:tcPr>
            <w:tcW w:w="4322" w:type="dxa"/>
            <w:shd w:val="clear" w:color="auto" w:fill="FFFFFF" w:themeFill="background1"/>
          </w:tcPr>
          <w:p w:rsidR="00202DAB" w:rsidRPr="00202DAB" w:rsidRDefault="00202DAB" w:rsidP="00202DAB">
            <w:pPr>
              <w:shd w:val="clear" w:color="auto" w:fill="00B0F0"/>
              <w:jc w:val="center"/>
              <w:rPr>
                <w:rFonts w:ascii="Calibri" w:eastAsia="Calibri" w:hAnsi="Calibri"/>
                <w:b/>
                <w:color w:val="000000"/>
                <w:sz w:val="22"/>
                <w:szCs w:val="22"/>
                <w:lang w:eastAsia="en-US"/>
              </w:rPr>
            </w:pPr>
          </w:p>
          <w:p w:rsidR="00202DAB" w:rsidRPr="00202DAB" w:rsidRDefault="00202DAB" w:rsidP="00202DAB">
            <w:pPr>
              <w:shd w:val="clear" w:color="auto" w:fill="00B0F0"/>
              <w:jc w:val="center"/>
              <w:rPr>
                <w:rFonts w:ascii="Calibri" w:eastAsia="Calibri" w:hAnsi="Calibri"/>
                <w:b/>
                <w:color w:val="000000"/>
                <w:sz w:val="22"/>
                <w:szCs w:val="22"/>
                <w:lang w:eastAsia="en-US"/>
              </w:rPr>
            </w:pPr>
            <w:r w:rsidRPr="00202DAB">
              <w:rPr>
                <w:rFonts w:ascii="Calibri" w:eastAsia="Calibri" w:hAnsi="Calibri"/>
                <w:b/>
                <w:color w:val="000000"/>
                <w:sz w:val="22"/>
                <w:szCs w:val="22"/>
                <w:lang w:eastAsia="en-US"/>
              </w:rPr>
              <w:t>REDACCIÓN ORIGINAL</w:t>
            </w:r>
          </w:p>
          <w:p w:rsidR="00202DAB" w:rsidRPr="00202DAB" w:rsidRDefault="00202DAB" w:rsidP="00202DAB">
            <w:pPr>
              <w:shd w:val="clear" w:color="auto" w:fill="00B0F0"/>
              <w:jc w:val="center"/>
              <w:rPr>
                <w:rFonts w:ascii="Calibri" w:eastAsia="Calibri" w:hAnsi="Calibri"/>
                <w:b/>
                <w:color w:val="000000"/>
                <w:sz w:val="22"/>
                <w:szCs w:val="22"/>
                <w:lang w:eastAsia="en-US"/>
              </w:rPr>
            </w:pP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color w:val="000000"/>
                <w:sz w:val="22"/>
                <w:szCs w:val="22"/>
                <w:lang w:eastAsia="en-US"/>
              </w:rPr>
            </w:pPr>
          </w:p>
          <w:p w:rsidR="00202DAB" w:rsidRPr="00202DAB" w:rsidRDefault="00202DAB" w:rsidP="00202DAB">
            <w:pPr>
              <w:shd w:val="clear" w:color="auto" w:fill="00B0F0"/>
              <w:jc w:val="center"/>
              <w:rPr>
                <w:rFonts w:ascii="Calibri" w:eastAsia="Calibri" w:hAnsi="Calibri"/>
                <w:b/>
                <w:color w:val="B6082E"/>
                <w:sz w:val="22"/>
                <w:szCs w:val="22"/>
                <w:lang w:eastAsia="en-US"/>
              </w:rPr>
            </w:pPr>
            <w:r w:rsidRPr="00202DAB">
              <w:rPr>
                <w:rFonts w:ascii="Calibri" w:eastAsia="Calibri" w:hAnsi="Calibri"/>
                <w:b/>
                <w:color w:val="B6082E"/>
                <w:sz w:val="22"/>
                <w:szCs w:val="22"/>
                <w:lang w:eastAsia="en-US"/>
              </w:rPr>
              <w:t>REDACCIÓN PROPUESTA 1</w:t>
            </w:r>
          </w:p>
          <w:p w:rsidR="00202DAB" w:rsidRPr="00202DAB" w:rsidRDefault="00202DAB" w:rsidP="00202DAB">
            <w:pPr>
              <w:shd w:val="clear" w:color="auto" w:fill="00B0F0"/>
              <w:jc w:val="both"/>
              <w:rPr>
                <w:rFonts w:ascii="Calibri" w:eastAsia="Calibri" w:hAnsi="Calibri"/>
                <w:b/>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autoSpaceDE w:val="0"/>
              <w:autoSpaceDN w:val="0"/>
              <w:adjustRightInd w:val="0"/>
              <w:rPr>
                <w:rFonts w:asciiTheme="minorHAnsi" w:eastAsiaTheme="minorHAnsi" w:hAnsiTheme="minorHAnsi" w:cstheme="minorHAnsi"/>
                <w:b/>
                <w:bCs/>
                <w:i/>
                <w:sz w:val="22"/>
                <w:szCs w:val="22"/>
                <w:lang w:eastAsia="en-US"/>
              </w:rPr>
            </w:pPr>
            <w:r w:rsidRPr="00202DAB">
              <w:rPr>
                <w:rFonts w:asciiTheme="minorHAnsi" w:eastAsiaTheme="minorHAnsi" w:hAnsiTheme="minorHAnsi" w:cstheme="minorHAnsi"/>
                <w:b/>
                <w:bCs/>
                <w:i/>
                <w:sz w:val="22"/>
                <w:szCs w:val="22"/>
                <w:lang w:eastAsia="en-US"/>
              </w:rPr>
              <w:t>VII</w:t>
            </w:r>
          </w:p>
          <w:p w:rsidR="00202DAB" w:rsidRPr="00202DAB" w:rsidRDefault="00202DAB" w:rsidP="00202DAB">
            <w:pPr>
              <w:shd w:val="clear" w:color="auto" w:fill="00B0F0"/>
              <w:jc w:val="both"/>
              <w:rPr>
                <w:rFonts w:asciiTheme="minorHAnsi" w:eastAsiaTheme="minorHAnsi" w:hAnsiTheme="minorHAnsi" w:cstheme="minorHAnsi"/>
                <w:i/>
                <w:sz w:val="22"/>
                <w:szCs w:val="22"/>
                <w:lang w:eastAsia="en-US"/>
              </w:rPr>
            </w:pPr>
            <w:r w:rsidRPr="00202DAB">
              <w:rPr>
                <w:rFonts w:asciiTheme="minorHAnsi" w:eastAsiaTheme="minorHAnsi" w:hAnsiTheme="minorHAnsi" w:cstheme="minorHAnsi"/>
                <w:bCs/>
                <w:i/>
                <w:sz w:val="22"/>
                <w:szCs w:val="22"/>
                <w:lang w:eastAsia="en-US"/>
              </w:rPr>
              <w:t xml:space="preserve">En </w:t>
            </w:r>
            <w:r w:rsidRPr="00202DAB">
              <w:rPr>
                <w:rFonts w:asciiTheme="minorHAnsi" w:eastAsiaTheme="minorHAnsi" w:hAnsiTheme="minorHAnsi" w:cstheme="minorHAnsi"/>
                <w:i/>
                <w:sz w:val="22"/>
                <w:szCs w:val="22"/>
                <w:lang w:eastAsia="en-US"/>
              </w:rPr>
              <w:t>la regulación de las causas de nulidad absoluta se otorga la competencia directa para su declaración a la Oficina Española de Patentes y Marcas. No obstante, se reconoce la posibilidad de plantear una pretensión de nulidad envía judicial por medio de una demanda reconvencional en el seno de una acción por violación de marca.</w:t>
            </w:r>
          </w:p>
          <w:p w:rsidR="00202DAB" w:rsidRPr="00202DAB" w:rsidRDefault="00202DAB" w:rsidP="00202DAB">
            <w:pPr>
              <w:shd w:val="clear" w:color="auto" w:fill="00B0F0"/>
              <w:jc w:val="both"/>
              <w:rPr>
                <w:rFonts w:asciiTheme="minorHAnsi" w:eastAsiaTheme="minorHAnsi" w:hAnsiTheme="minorHAnsi" w:cstheme="minorHAnsi"/>
                <w:i/>
                <w:sz w:val="22"/>
                <w:szCs w:val="22"/>
                <w:lang w:eastAsia="en-US"/>
              </w:rPr>
            </w:pPr>
            <w:r w:rsidRPr="00202DAB">
              <w:rPr>
                <w:rFonts w:asciiTheme="minorHAnsi" w:eastAsiaTheme="minorHAnsi" w:hAnsiTheme="minorHAnsi" w:cstheme="minorHAnsi"/>
                <w:i/>
                <w:sz w:val="22"/>
                <w:szCs w:val="22"/>
                <w:lang w:eastAsia="en-US"/>
              </w:rPr>
              <w:t>(…)</w:t>
            </w: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sz w:val="32"/>
                <w:szCs w:val="22"/>
                <w:lang w:eastAsia="en-US"/>
              </w:rPr>
            </w:pPr>
            <w:r w:rsidRPr="00202DAB">
              <w:rPr>
                <w:rFonts w:asciiTheme="minorHAnsi" w:eastAsiaTheme="minorHAnsi" w:hAnsiTheme="minorHAnsi" w:cstheme="minorHAnsi"/>
                <w:i/>
                <w:sz w:val="22"/>
                <w:szCs w:val="17"/>
                <w:lang w:eastAsia="en-US"/>
              </w:rPr>
              <w:t>Por lo que respecta a las causas de nulidad relativa se otorga igualmente la competencia directa a la Oficina Española de Patentes y Marcas para su declaración, sin perjuicio de que sean los Tribunales de Justicia los que la declaren cuando se presente una demanda reconvencional en el seno de una acción por violación de marca. Se regula la prescripción de la acción por tolerancia en consonancia con la regulación de la Directiva, excluyéndose de estos casos de prescripción los que afecten a las marcas de agentes o representantes en consonancia igualmente con la solución dada en la Directiva.</w:t>
            </w:r>
          </w:p>
          <w:p w:rsidR="00202DAB" w:rsidRPr="00202DAB" w:rsidRDefault="00202DAB" w:rsidP="00202DAB">
            <w:pPr>
              <w:shd w:val="clear" w:color="auto" w:fill="00B0F0"/>
              <w:jc w:val="both"/>
              <w:rPr>
                <w:rFonts w:ascii="Calibri" w:eastAsia="Calibri" w:hAnsi="Calibri"/>
                <w:b/>
                <w:i/>
                <w:sz w:val="22"/>
                <w:szCs w:val="22"/>
                <w:lang w:eastAsia="en-US"/>
              </w:rPr>
            </w:pPr>
          </w:p>
          <w:p w:rsidR="00202DAB" w:rsidRPr="00202DAB" w:rsidRDefault="00202DAB" w:rsidP="00202DAB">
            <w:pPr>
              <w:shd w:val="clear" w:color="auto" w:fill="00B0F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z w:val="22"/>
                <w:szCs w:val="22"/>
                <w:lang w:eastAsia="en-US"/>
              </w:rPr>
            </w:pPr>
            <w:r w:rsidRPr="00202DAB">
              <w:rPr>
                <w:rFonts w:asciiTheme="minorHAnsi" w:eastAsiaTheme="minorHAnsi" w:hAnsiTheme="minorHAnsi" w:cstheme="minorHAnsi"/>
                <w:i/>
                <w:color w:val="070707"/>
                <w:sz w:val="22"/>
                <w:szCs w:val="22"/>
                <w:lang w:eastAsia="en-US"/>
              </w:rPr>
              <w:t xml:space="preserve">La solicitud de nulidad envía administrativa o en la vía </w:t>
            </w:r>
            <w:r w:rsidRPr="00202DAB">
              <w:rPr>
                <w:rFonts w:asciiTheme="minorHAnsi" w:eastAsiaTheme="minorHAnsi" w:hAnsiTheme="minorHAnsi" w:cstheme="minorHAnsi"/>
                <w:i/>
                <w:sz w:val="22"/>
                <w:szCs w:val="22"/>
                <w:lang w:eastAsia="en-US"/>
              </w:rPr>
              <w:t>judicial por vía de reconvención impedirá al mismo titular presentar una nueva pretensión de nulidad fundada en otro de sus derechos, siempre que hubiera podido alegarlo en su primera petición de nulidad; se consigue de esta forma una mayor seguridad jurídica, evitándose abusos.</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z w:val="22"/>
                <w:szCs w:val="22"/>
                <w:lang w:eastAsia="en-US"/>
              </w:rPr>
            </w:pPr>
            <w:r w:rsidRPr="00202DAB">
              <w:rPr>
                <w:rFonts w:asciiTheme="minorHAnsi" w:eastAsiaTheme="minorHAnsi" w:hAnsiTheme="minorHAnsi" w:cstheme="minorHAnsi"/>
                <w:bCs/>
                <w:i/>
                <w:sz w:val="22"/>
                <w:szCs w:val="22"/>
                <w:lang w:eastAsia="en-US"/>
              </w:rPr>
              <w:t>En</w:t>
            </w:r>
            <w:r w:rsidRPr="00202DAB">
              <w:rPr>
                <w:rFonts w:asciiTheme="minorHAnsi" w:eastAsiaTheme="minorHAnsi" w:hAnsiTheme="minorHAnsi" w:cstheme="minorHAnsi"/>
                <w:b/>
                <w:bCs/>
                <w:i/>
                <w:sz w:val="22"/>
                <w:szCs w:val="22"/>
                <w:lang w:eastAsia="en-US"/>
              </w:rPr>
              <w:t xml:space="preserve"> </w:t>
            </w:r>
            <w:r w:rsidRPr="00202DAB">
              <w:rPr>
                <w:rFonts w:asciiTheme="minorHAnsi" w:eastAsiaTheme="minorHAnsi" w:hAnsiTheme="minorHAnsi" w:cstheme="minorHAnsi"/>
                <w:i/>
                <w:sz w:val="22"/>
                <w:szCs w:val="22"/>
                <w:lang w:eastAsia="en-US"/>
              </w:rPr>
              <w:t>materia de caducidad de registro de marca se establece, al igual que en la nulidad, el principio general de la competencia directa de la Oficina Española de Patentes y Marcas para su declaración y también la de los Tribunales de Justicia, por vía reconvencional en acciones por violación de marca.</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z w:val="22"/>
                <w:szCs w:val="22"/>
                <w:lang w:eastAsia="en-US"/>
              </w:rPr>
            </w:pPr>
            <w:r w:rsidRPr="00202DAB">
              <w:rPr>
                <w:rFonts w:asciiTheme="minorHAnsi" w:eastAsiaTheme="minorHAnsi" w:hAnsiTheme="minorHAnsi" w:cstheme="minorHAnsi"/>
                <w:i/>
                <w:sz w:val="22"/>
                <w:szCs w:val="22"/>
                <w:lang w:eastAsia="en-US"/>
              </w:rPr>
              <w:t>(…)</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r w:rsidRPr="00202DAB">
              <w:rPr>
                <w:rFonts w:asciiTheme="minorHAnsi" w:eastAsiaTheme="minorHAnsi" w:hAnsiTheme="minorHAnsi" w:cstheme="minorHAnsi"/>
                <w:i/>
                <w:color w:val="050505"/>
                <w:sz w:val="22"/>
                <w:szCs w:val="22"/>
                <w:lang w:eastAsia="en-US"/>
              </w:rPr>
              <w:t xml:space="preserve">En lo que respecta a los efectos de la declaración de nulidad y de caducidad, se introducen modificaciones en la normativa anterior que afectan de manera especial a la declaración de caducidad; en concreto, una vez declarada la caducidad de una marca registrada, los efectos de dicha declaración se retrotraen a la fecha de solicitud administrativa de caducidad o a la fecha de la demanda </w:t>
            </w:r>
            <w:r w:rsidRPr="00202DAB">
              <w:rPr>
                <w:rFonts w:asciiTheme="minorHAnsi" w:eastAsiaTheme="minorHAnsi" w:hAnsiTheme="minorHAnsi" w:cstheme="minorHAnsi"/>
                <w:i/>
                <w:sz w:val="22"/>
                <w:szCs w:val="22"/>
                <w:lang w:eastAsia="en-US"/>
              </w:rPr>
              <w:t>reconvencional,</w:t>
            </w:r>
            <w:r w:rsidRPr="00202DAB">
              <w:rPr>
                <w:rFonts w:asciiTheme="minorHAnsi" w:eastAsiaTheme="minorHAnsi" w:hAnsiTheme="minorHAnsi" w:cstheme="minorHAnsi"/>
                <w:i/>
                <w:color w:val="050505"/>
                <w:sz w:val="22"/>
                <w:szCs w:val="22"/>
                <w:lang w:eastAsia="en-US"/>
              </w:rPr>
              <w:t xml:space="preserve"> según proceda, todo ello sin perjuicio de que en la resolución o sentencia que la declare se fije una fecha anterior.</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r w:rsidRPr="00202DAB">
              <w:rPr>
                <w:rFonts w:asciiTheme="minorHAnsi" w:eastAsiaTheme="minorHAnsi" w:hAnsiTheme="minorHAnsi" w:cstheme="minorHAnsi"/>
                <w:i/>
                <w:color w:val="050505"/>
                <w:sz w:val="22"/>
                <w:szCs w:val="22"/>
                <w:lang w:eastAsia="en-US"/>
              </w:rPr>
              <w:t>(…)</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z w:val="22"/>
                <w:szCs w:val="17"/>
                <w:lang w:eastAsia="en-US"/>
              </w:rPr>
            </w:pPr>
            <w:r w:rsidRPr="00202DAB">
              <w:rPr>
                <w:rFonts w:asciiTheme="minorHAnsi" w:eastAsiaTheme="minorHAnsi" w:hAnsiTheme="minorHAnsi" w:cstheme="minorHAnsi"/>
                <w:i/>
                <w:color w:val="050505"/>
                <w:sz w:val="22"/>
                <w:szCs w:val="17"/>
                <w:lang w:eastAsia="en-US"/>
              </w:rPr>
              <w:t>Aun cuando la Of</w:t>
            </w:r>
            <w:r w:rsidRPr="00202DAB">
              <w:rPr>
                <w:rFonts w:asciiTheme="minorHAnsi" w:eastAsiaTheme="minorHAnsi" w:hAnsiTheme="minorHAnsi" w:cstheme="minorHAnsi"/>
                <w:i/>
                <w:sz w:val="22"/>
                <w:szCs w:val="17"/>
                <w:lang w:eastAsia="en-US"/>
              </w:rPr>
              <w:t xml:space="preserve">icina Española de Patentes y Mareas tiene atribuida una competencia por vía directa en materia de nulidad y caducidad de signos distintivos, esta se encuentra compartida con los Tribunales de Justicia y cuando se plantea esta pretensión por vía reconvencional en las acciones por violación de marcas, por esto se ha considerado conveniente regular de forma especial los efectos de cosa juzgada y de firmeza de las resoluciones administrativas, previéndose expresamente la inadmisibilidad de toda demanda reconvencional por nulidad o caducidad si la Oficina Española de Patentes y Marcas hubiera dictado ya una resolución firme con el mismo objeto; aplicándose el mismo criterio en el caso inverso. Igualmente se excluye la posibilidad de plantear una solicitud de nulidad ante la Oficina Española de Patentes y Marcas y ante los Tribunales civiles por vía de reconvención a quien la hubiera planteado con el mismo objeto ante la jurisdicción contencioso-administrativa. Igualmente ha sido objeto de especial atención la litispendencia y la </w:t>
            </w:r>
            <w:proofErr w:type="gramStart"/>
            <w:r w:rsidRPr="00202DAB">
              <w:rPr>
                <w:rFonts w:asciiTheme="minorHAnsi" w:eastAsiaTheme="minorHAnsi" w:hAnsiTheme="minorHAnsi" w:cstheme="minorHAnsi"/>
                <w:i/>
                <w:sz w:val="22"/>
                <w:szCs w:val="17"/>
                <w:lang w:eastAsia="en-US"/>
              </w:rPr>
              <w:t>prejudicialidad</w:t>
            </w:r>
            <w:proofErr w:type="gramEnd"/>
            <w:r w:rsidRPr="00202DAB">
              <w:rPr>
                <w:rFonts w:asciiTheme="minorHAnsi" w:eastAsiaTheme="minorHAnsi" w:hAnsiTheme="minorHAnsi" w:cstheme="minorHAnsi"/>
                <w:i/>
                <w:sz w:val="22"/>
                <w:szCs w:val="17"/>
                <w:lang w:eastAsia="en-US"/>
              </w:rPr>
              <w:t xml:space="preserve"> así como la existencia de procedimientos administrativos previos de nulidad o caducidad, dadas las interferencias que pueden producirse entre los órganos administrativos y jurisdiccionales cuando existan pretensiones planteadas ante órganos diferentes en los que exista una conexión que condicione la resolución a adoptar.</w:t>
            </w:r>
          </w:p>
          <w:p w:rsidR="00202DAB" w:rsidRPr="00202DAB" w:rsidRDefault="00202DAB" w:rsidP="00202DAB">
            <w:pPr>
              <w:shd w:val="clear" w:color="auto" w:fill="00B0F0"/>
              <w:autoSpaceDE w:val="0"/>
              <w:autoSpaceDN w:val="0"/>
              <w:adjustRightInd w:val="0"/>
              <w:jc w:val="both"/>
              <w:rPr>
                <w:rFonts w:ascii="Calibri" w:eastAsia="Calibri" w:hAnsi="Calibri"/>
                <w:b/>
                <w:i/>
                <w:sz w:val="22"/>
                <w:szCs w:val="22"/>
                <w:lang w:eastAsia="en-US"/>
              </w:rPr>
            </w:pPr>
          </w:p>
        </w:tc>
        <w:tc>
          <w:tcPr>
            <w:tcW w:w="4322" w:type="dxa"/>
            <w:shd w:val="clear" w:color="auto" w:fill="FFFFFF" w:themeFill="background1"/>
          </w:tcPr>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b/>
                <w:bCs/>
                <w:i/>
                <w:color w:val="070707"/>
                <w:sz w:val="22"/>
                <w:szCs w:val="22"/>
                <w:lang w:eastAsia="en-US"/>
              </w:rPr>
            </w:pPr>
            <w:r w:rsidRPr="00202DAB">
              <w:rPr>
                <w:rFonts w:asciiTheme="minorHAnsi" w:eastAsiaTheme="minorHAnsi" w:hAnsiTheme="minorHAnsi" w:cstheme="minorHAnsi"/>
                <w:b/>
                <w:bCs/>
                <w:i/>
                <w:color w:val="070707"/>
                <w:sz w:val="22"/>
                <w:szCs w:val="22"/>
                <w:lang w:eastAsia="en-US"/>
              </w:rPr>
              <w:t>VII</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trike/>
                <w:color w:val="B6082E"/>
                <w:sz w:val="22"/>
                <w:szCs w:val="22"/>
                <w:lang w:eastAsia="en-US"/>
              </w:rPr>
            </w:pPr>
            <w:r w:rsidRPr="00202DAB">
              <w:rPr>
                <w:rFonts w:asciiTheme="minorHAnsi" w:eastAsiaTheme="minorHAnsi" w:hAnsiTheme="minorHAnsi" w:cstheme="minorHAnsi"/>
                <w:bCs/>
                <w:i/>
                <w:color w:val="070707"/>
                <w:sz w:val="22"/>
                <w:szCs w:val="22"/>
                <w:lang w:eastAsia="en-US"/>
              </w:rPr>
              <w:t xml:space="preserve">En </w:t>
            </w:r>
            <w:r w:rsidRPr="00202DAB">
              <w:rPr>
                <w:rFonts w:asciiTheme="minorHAnsi" w:eastAsiaTheme="minorHAnsi" w:hAnsiTheme="minorHAnsi" w:cstheme="minorHAnsi"/>
                <w:i/>
                <w:color w:val="070707"/>
                <w:sz w:val="22"/>
                <w:szCs w:val="22"/>
                <w:lang w:eastAsia="en-US"/>
              </w:rPr>
              <w:t xml:space="preserve">la regulación de las causas de nulidad absoluta se otorga competencia para </w:t>
            </w:r>
            <w:r w:rsidRPr="00202DAB">
              <w:rPr>
                <w:rFonts w:asciiTheme="minorHAnsi" w:eastAsiaTheme="minorHAnsi" w:hAnsiTheme="minorHAnsi" w:cstheme="minorHAnsi"/>
                <w:i/>
                <w:color w:val="1C1C1C"/>
                <w:sz w:val="22"/>
                <w:szCs w:val="22"/>
                <w:lang w:eastAsia="en-US"/>
              </w:rPr>
              <w:t xml:space="preserve">su </w:t>
            </w:r>
            <w:r w:rsidRPr="00202DAB">
              <w:rPr>
                <w:rFonts w:asciiTheme="minorHAnsi" w:eastAsiaTheme="minorHAnsi" w:hAnsiTheme="minorHAnsi" w:cstheme="minorHAnsi"/>
                <w:i/>
                <w:color w:val="070707"/>
                <w:sz w:val="22"/>
                <w:szCs w:val="22"/>
                <w:lang w:eastAsia="en-US"/>
              </w:rPr>
              <w:t>declaración a la Oficina Española de Patentes y Marcas y también</w:t>
            </w:r>
            <w:r w:rsidRPr="00202DAB">
              <w:rPr>
                <w:rFonts w:asciiTheme="minorHAnsi" w:eastAsiaTheme="minorHAnsi" w:hAnsiTheme="minorHAnsi" w:cstheme="minorHAnsi"/>
                <w:i/>
                <w:color w:val="B6082E"/>
                <w:sz w:val="22"/>
                <w:szCs w:val="22"/>
                <w:lang w:eastAsia="en-US"/>
              </w:rPr>
              <w:t xml:space="preserve">, </w:t>
            </w:r>
            <w:r w:rsidRPr="00202DAB">
              <w:rPr>
                <w:rFonts w:asciiTheme="minorHAnsi" w:eastAsiaTheme="minorHAnsi" w:hAnsiTheme="minorHAnsi" w:cstheme="minorHAnsi"/>
                <w:i/>
                <w:color w:val="070707"/>
                <w:sz w:val="22"/>
                <w:szCs w:val="22"/>
                <w:lang w:eastAsia="en-US"/>
              </w:rPr>
              <w:t>la posibilidad de plantear una pretensión de nulidad en vía judicial.</w:t>
            </w: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color w:val="000000"/>
                <w:sz w:val="22"/>
                <w:szCs w:val="22"/>
                <w:lang w:eastAsia="en-US"/>
              </w:rPr>
            </w:pPr>
            <w:r w:rsidRPr="00202DAB">
              <w:rPr>
                <w:rFonts w:asciiTheme="minorHAnsi" w:eastAsia="Calibri" w:hAnsiTheme="minorHAnsi" w:cstheme="minorHAnsi"/>
                <w:i/>
                <w:color w:val="000000"/>
                <w:sz w:val="22"/>
                <w:szCs w:val="22"/>
                <w:lang w:eastAsia="en-US"/>
              </w:rPr>
              <w:t>(…)</w:t>
            </w: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color w:val="000000"/>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color w:val="000000"/>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r w:rsidRPr="00202DAB">
              <w:rPr>
                <w:rFonts w:asciiTheme="minorHAnsi" w:eastAsiaTheme="minorHAnsi" w:hAnsiTheme="minorHAnsi" w:cstheme="minorHAnsi"/>
                <w:i/>
                <w:color w:val="070707"/>
                <w:sz w:val="22"/>
                <w:szCs w:val="17"/>
                <w:lang w:eastAsia="en-US"/>
              </w:rPr>
              <w:t xml:space="preserve">Por lo que respecta a las causas de nulidad relativa se otorga igualmente competencia a la Oficina Española de Patentes y Marcas para su declaración, sin perjuicio de </w:t>
            </w:r>
            <w:r w:rsidRPr="00202DAB">
              <w:rPr>
                <w:rFonts w:asciiTheme="minorHAnsi" w:eastAsiaTheme="minorHAnsi" w:hAnsiTheme="minorHAnsi" w:cstheme="minorHAnsi"/>
                <w:i/>
                <w:color w:val="000000" w:themeColor="text1"/>
                <w:sz w:val="22"/>
                <w:szCs w:val="17"/>
                <w:lang w:eastAsia="en-US"/>
              </w:rPr>
              <w:t xml:space="preserve">la posibilidad de </w:t>
            </w:r>
            <w:r w:rsidRPr="00202DAB">
              <w:rPr>
                <w:rFonts w:asciiTheme="minorHAnsi" w:eastAsiaTheme="minorHAnsi" w:hAnsiTheme="minorHAnsi" w:cstheme="minorHAnsi"/>
                <w:i/>
                <w:color w:val="070707"/>
                <w:sz w:val="22"/>
                <w:szCs w:val="17"/>
                <w:lang w:eastAsia="en-US"/>
              </w:rPr>
              <w:t xml:space="preserve">que </w:t>
            </w:r>
            <w:r w:rsidRPr="00202DAB">
              <w:rPr>
                <w:rFonts w:asciiTheme="minorHAnsi" w:eastAsiaTheme="minorHAnsi" w:hAnsiTheme="minorHAnsi" w:cstheme="minorHAnsi"/>
                <w:i/>
                <w:color w:val="1C1C1C"/>
                <w:sz w:val="22"/>
                <w:szCs w:val="17"/>
                <w:lang w:eastAsia="en-US"/>
              </w:rPr>
              <w:t xml:space="preserve">sean </w:t>
            </w:r>
            <w:r w:rsidRPr="00202DAB">
              <w:rPr>
                <w:rFonts w:asciiTheme="minorHAnsi" w:eastAsiaTheme="minorHAnsi" w:hAnsiTheme="minorHAnsi" w:cstheme="minorHAnsi"/>
                <w:i/>
                <w:color w:val="070707"/>
                <w:sz w:val="22"/>
                <w:szCs w:val="17"/>
                <w:lang w:eastAsia="en-US"/>
              </w:rPr>
              <w:t>los Tribunales de Justicia los que la declaren. Se regula la prescripción de la acción por tolerancia en consonancia con la regulación de la Directiva, excluyéndose de estos casos de prescripción los que afecten a las marcas de agentes o representantes en consonancia igualmente con la solución dada en la Directiva.</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22"/>
                <w:lang w:eastAsia="en-US"/>
              </w:rPr>
            </w:pPr>
            <w:r w:rsidRPr="00202DAB">
              <w:rPr>
                <w:rFonts w:asciiTheme="minorHAnsi" w:eastAsiaTheme="minorHAnsi" w:hAnsiTheme="minorHAnsi" w:cstheme="minorHAnsi"/>
                <w:i/>
                <w:color w:val="070707"/>
                <w:sz w:val="22"/>
                <w:szCs w:val="22"/>
                <w:lang w:eastAsia="en-US"/>
              </w:rPr>
              <w:t>La solicitud de nulidad en vía administrativa o en la vía judicial impedirá al mismo titular presentar una nueva pretensión de nulidad fundada en otro de sus derechos, siempre que hubiera podido alegarlo en su primera petición de nulidad; se consigue de esta forma una mayor seguridad jurídica, evitándose abusos.</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trike/>
                <w:color w:val="070707"/>
                <w:sz w:val="22"/>
                <w:szCs w:val="22"/>
                <w:lang w:eastAsia="en-US"/>
              </w:rPr>
            </w:pPr>
            <w:r w:rsidRPr="00202DAB">
              <w:rPr>
                <w:rFonts w:asciiTheme="minorHAnsi" w:eastAsiaTheme="minorHAnsi" w:hAnsiTheme="minorHAnsi" w:cstheme="minorHAnsi"/>
                <w:bCs/>
                <w:i/>
                <w:color w:val="070707"/>
                <w:sz w:val="22"/>
                <w:szCs w:val="22"/>
                <w:lang w:eastAsia="en-US"/>
              </w:rPr>
              <w:t>En</w:t>
            </w:r>
            <w:r w:rsidRPr="00202DAB">
              <w:rPr>
                <w:rFonts w:asciiTheme="minorHAnsi" w:eastAsiaTheme="minorHAnsi" w:hAnsiTheme="minorHAnsi" w:cstheme="minorHAnsi"/>
                <w:b/>
                <w:bCs/>
                <w:i/>
                <w:color w:val="070707"/>
                <w:sz w:val="22"/>
                <w:szCs w:val="22"/>
                <w:lang w:eastAsia="en-US"/>
              </w:rPr>
              <w:t xml:space="preserve"> </w:t>
            </w:r>
            <w:r w:rsidRPr="00202DAB">
              <w:rPr>
                <w:rFonts w:asciiTheme="minorHAnsi" w:eastAsiaTheme="minorHAnsi" w:hAnsiTheme="minorHAnsi" w:cstheme="minorHAnsi"/>
                <w:i/>
                <w:color w:val="070707"/>
                <w:sz w:val="22"/>
                <w:szCs w:val="22"/>
                <w:lang w:eastAsia="en-US"/>
              </w:rPr>
              <w:t>materia de caducidad de registro de marca se establece</w:t>
            </w:r>
            <w:r w:rsidRPr="00202DAB">
              <w:rPr>
                <w:rFonts w:asciiTheme="minorHAnsi" w:eastAsiaTheme="minorHAnsi" w:hAnsiTheme="minorHAnsi" w:cstheme="minorHAnsi"/>
                <w:i/>
                <w:color w:val="333333"/>
                <w:sz w:val="22"/>
                <w:szCs w:val="22"/>
                <w:lang w:eastAsia="en-US"/>
              </w:rPr>
              <w:t xml:space="preserve">, </w:t>
            </w:r>
            <w:r w:rsidRPr="00202DAB">
              <w:rPr>
                <w:rFonts w:asciiTheme="minorHAnsi" w:eastAsiaTheme="minorHAnsi" w:hAnsiTheme="minorHAnsi" w:cstheme="minorHAnsi"/>
                <w:i/>
                <w:color w:val="070707"/>
                <w:sz w:val="22"/>
                <w:szCs w:val="22"/>
                <w:lang w:eastAsia="en-US"/>
              </w:rPr>
              <w:t>al igual que en la nulidad, el principio de</w:t>
            </w:r>
            <w:r w:rsidRPr="00202DAB">
              <w:rPr>
                <w:rFonts w:asciiTheme="minorHAnsi" w:eastAsiaTheme="minorHAnsi" w:hAnsiTheme="minorHAnsi" w:cstheme="minorHAnsi"/>
                <w:i/>
                <w:color w:val="B6082E"/>
                <w:sz w:val="22"/>
                <w:szCs w:val="22"/>
                <w:lang w:eastAsia="en-US"/>
              </w:rPr>
              <w:t xml:space="preserve"> </w:t>
            </w:r>
            <w:r w:rsidRPr="00202DAB">
              <w:rPr>
                <w:rFonts w:asciiTheme="minorHAnsi" w:eastAsiaTheme="minorHAnsi" w:hAnsiTheme="minorHAnsi" w:cstheme="minorHAnsi"/>
                <w:i/>
                <w:color w:val="070707"/>
                <w:sz w:val="22"/>
                <w:szCs w:val="22"/>
                <w:lang w:eastAsia="en-US"/>
              </w:rPr>
              <w:t>competencia de la Oficina Española de Patentes y Marcas para su declaración y también la de los Tribunales de Justicia</w:t>
            </w:r>
            <w:r w:rsidRPr="00202DAB">
              <w:rPr>
                <w:rFonts w:asciiTheme="minorHAnsi" w:eastAsiaTheme="minorHAnsi" w:hAnsiTheme="minorHAnsi" w:cstheme="minorHAnsi"/>
                <w:i/>
                <w:strike/>
                <w:color w:val="B6082E"/>
                <w:sz w:val="22"/>
                <w:szCs w:val="22"/>
                <w:lang w:eastAsia="en-US"/>
              </w:rPr>
              <w:t>.</w:t>
            </w: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color w:val="000000"/>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color w:val="000000"/>
                <w:sz w:val="22"/>
                <w:szCs w:val="22"/>
                <w:lang w:eastAsia="en-US"/>
              </w:rPr>
            </w:pPr>
            <w:r w:rsidRPr="00202DAB">
              <w:rPr>
                <w:rFonts w:asciiTheme="minorHAnsi" w:eastAsia="Calibri" w:hAnsiTheme="minorHAnsi" w:cstheme="minorHAnsi"/>
                <w:i/>
                <w:color w:val="000000"/>
                <w:sz w:val="22"/>
                <w:szCs w:val="22"/>
                <w:lang w:eastAsia="en-US"/>
              </w:rPr>
              <w:t>(…)</w:t>
            </w: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color w:val="000000"/>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00000" w:themeColor="text1"/>
                <w:sz w:val="22"/>
                <w:szCs w:val="22"/>
                <w:lang w:eastAsia="en-US"/>
              </w:rPr>
            </w:pPr>
            <w:r w:rsidRPr="00202DAB">
              <w:rPr>
                <w:rFonts w:asciiTheme="minorHAnsi" w:eastAsiaTheme="minorHAnsi" w:hAnsiTheme="minorHAnsi" w:cstheme="minorHAnsi"/>
                <w:i/>
                <w:color w:val="000000" w:themeColor="text1"/>
                <w:sz w:val="22"/>
                <w:szCs w:val="22"/>
                <w:lang w:eastAsia="en-US"/>
              </w:rPr>
              <w:t xml:space="preserve">Para unificar el control jurisdiccional de las decisiones sobre nulidad y caducidad de los signos distintivos, se establece </w:t>
            </w:r>
            <w:proofErr w:type="gramStart"/>
            <w:r w:rsidRPr="00202DAB">
              <w:rPr>
                <w:rFonts w:asciiTheme="minorHAnsi" w:eastAsiaTheme="minorHAnsi" w:hAnsiTheme="minorHAnsi" w:cstheme="minorHAnsi"/>
                <w:i/>
                <w:color w:val="000000" w:themeColor="text1"/>
                <w:sz w:val="22"/>
                <w:szCs w:val="22"/>
                <w:lang w:eastAsia="en-US"/>
              </w:rPr>
              <w:t>la  competencia</w:t>
            </w:r>
            <w:proofErr w:type="gramEnd"/>
            <w:r w:rsidRPr="00202DAB">
              <w:rPr>
                <w:rFonts w:asciiTheme="minorHAnsi" w:eastAsiaTheme="minorHAnsi" w:hAnsiTheme="minorHAnsi" w:cstheme="minorHAnsi"/>
                <w:i/>
                <w:color w:val="000000" w:themeColor="text1"/>
                <w:sz w:val="22"/>
                <w:szCs w:val="22"/>
                <w:lang w:eastAsia="en-US"/>
              </w:rPr>
              <w:t xml:space="preserve"> para la revisión jurisdiccional de las resoluciones de la Oficina Española de Patentes y Marcas a favor de los tribunales del orden civil con competencia en materia mercantil, en plena coincidencia con la segunda instancia de las acciones de nulidad o caducidad que se han instado ante los juzgados mercantiles competentes.</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00000" w:themeColor="text1"/>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r w:rsidRPr="00202DAB">
              <w:rPr>
                <w:rFonts w:asciiTheme="minorHAnsi" w:eastAsiaTheme="minorHAnsi" w:hAnsiTheme="minorHAnsi" w:cstheme="minorHAnsi"/>
                <w:i/>
                <w:color w:val="050505"/>
                <w:sz w:val="22"/>
                <w:szCs w:val="22"/>
                <w:lang w:eastAsia="en-US"/>
              </w:rPr>
              <w:t xml:space="preserve">En lo que respecta a los efectos de la declaración de nulidad y de caducidad, se introducen modificaciones en la normativa anterior que afectan de manera especial a la declaración de caducidad; en concreto, una vez declarada la caducidad de una marca registrada, los efectos de dicha declaración se retrotraen a la fecha de solicitud administrativa de caducidad o a la fecha de la demanda </w:t>
            </w:r>
            <w:r w:rsidRPr="00202DAB">
              <w:rPr>
                <w:rFonts w:asciiTheme="minorHAnsi" w:eastAsiaTheme="minorHAnsi" w:hAnsiTheme="minorHAnsi" w:cstheme="minorHAnsi"/>
                <w:i/>
                <w:color w:val="000000" w:themeColor="text1"/>
                <w:sz w:val="22"/>
                <w:szCs w:val="22"/>
                <w:lang w:eastAsia="en-US"/>
              </w:rPr>
              <w:t>judicial</w:t>
            </w:r>
            <w:r w:rsidRPr="00202DAB">
              <w:rPr>
                <w:rFonts w:asciiTheme="minorHAnsi" w:eastAsiaTheme="minorHAnsi" w:hAnsiTheme="minorHAnsi" w:cstheme="minorHAnsi"/>
                <w:i/>
                <w:color w:val="050505"/>
                <w:sz w:val="22"/>
                <w:szCs w:val="22"/>
                <w:lang w:eastAsia="en-US"/>
              </w:rPr>
              <w:t>, según proceda, todo ello sin perjuicio de que en la resolución o sentencia que la declare se fije una fecha anterior.</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r w:rsidRPr="00202DAB">
              <w:rPr>
                <w:rFonts w:asciiTheme="minorHAnsi" w:eastAsiaTheme="minorHAnsi" w:hAnsiTheme="minorHAnsi" w:cstheme="minorHAnsi"/>
                <w:i/>
                <w:color w:val="050505"/>
                <w:sz w:val="22"/>
                <w:szCs w:val="22"/>
                <w:lang w:eastAsia="en-US"/>
              </w:rPr>
              <w:t>(…)</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color w:val="000000"/>
                <w:sz w:val="22"/>
                <w:szCs w:val="22"/>
                <w:lang w:eastAsia="en-US"/>
              </w:rPr>
            </w:pPr>
            <w:r w:rsidRPr="00202DAB">
              <w:rPr>
                <w:rFonts w:asciiTheme="minorHAnsi" w:eastAsiaTheme="minorHAnsi" w:hAnsiTheme="minorHAnsi" w:cstheme="minorHAnsi"/>
                <w:i/>
                <w:color w:val="050505"/>
                <w:sz w:val="22"/>
                <w:szCs w:val="17"/>
                <w:lang w:eastAsia="en-US"/>
              </w:rPr>
              <w:t xml:space="preserve">Aun cuando la Oficina Española de Patentes y Mareas tiene atribuida competencia en materia de nulidad y caducidad de signos distintivos, esta se encuentra compartida con los Tribunales de Justicia, </w:t>
            </w:r>
            <w:r w:rsidRPr="00202DAB">
              <w:rPr>
                <w:rFonts w:asciiTheme="minorHAnsi" w:eastAsiaTheme="minorHAnsi" w:hAnsiTheme="minorHAnsi" w:cstheme="minorHAnsi"/>
                <w:i/>
                <w:strike/>
                <w:color w:val="B6082E"/>
                <w:sz w:val="22"/>
                <w:szCs w:val="17"/>
                <w:lang w:eastAsia="en-US"/>
              </w:rPr>
              <w:t xml:space="preserve"> </w:t>
            </w:r>
            <w:r w:rsidRPr="00202DAB">
              <w:rPr>
                <w:rFonts w:asciiTheme="minorHAnsi" w:eastAsiaTheme="minorHAnsi" w:hAnsiTheme="minorHAnsi" w:cstheme="minorHAnsi"/>
                <w:i/>
                <w:color w:val="050505"/>
                <w:sz w:val="22"/>
                <w:szCs w:val="17"/>
                <w:lang w:eastAsia="en-US"/>
              </w:rPr>
              <w:t xml:space="preserve">por esto se ha considerado conveniente regular de forma especial los efectos de cosa juzgada y de firmeza de las </w:t>
            </w:r>
            <w:r w:rsidRPr="00202DAB">
              <w:rPr>
                <w:rFonts w:asciiTheme="minorHAnsi" w:eastAsiaTheme="minorHAnsi" w:hAnsiTheme="minorHAnsi" w:cstheme="minorHAnsi"/>
                <w:i/>
                <w:color w:val="1C1C1C"/>
                <w:sz w:val="22"/>
                <w:szCs w:val="17"/>
                <w:lang w:eastAsia="en-US"/>
              </w:rPr>
              <w:t xml:space="preserve">resoluciones </w:t>
            </w:r>
            <w:r w:rsidRPr="00202DAB">
              <w:rPr>
                <w:rFonts w:asciiTheme="minorHAnsi" w:eastAsiaTheme="minorHAnsi" w:hAnsiTheme="minorHAnsi" w:cstheme="minorHAnsi"/>
                <w:i/>
                <w:color w:val="050505"/>
                <w:sz w:val="22"/>
                <w:szCs w:val="17"/>
                <w:lang w:eastAsia="en-US"/>
              </w:rPr>
              <w:t xml:space="preserve">administrativas, previéndose expresamente la inadmisibilidad de toda demanda por nulidad o caducidad si la Oficina Española de Patentes y Marcas hubiera dictado ya una resolución firme con el mismo objeto; aplicándose el mismo criterio en el caso inverso. Igualmente se excluye la posibilidad de plantear una solicitud de nulidad ante la Oficina Española de Patentes </w:t>
            </w:r>
            <w:r w:rsidRPr="00202DAB">
              <w:rPr>
                <w:rFonts w:asciiTheme="minorHAnsi" w:eastAsiaTheme="minorHAnsi" w:hAnsiTheme="minorHAnsi" w:cstheme="minorHAnsi"/>
                <w:i/>
                <w:color w:val="1C1C1C"/>
                <w:sz w:val="22"/>
                <w:szCs w:val="17"/>
                <w:lang w:eastAsia="en-US"/>
              </w:rPr>
              <w:t xml:space="preserve">y </w:t>
            </w:r>
            <w:r w:rsidRPr="00202DAB">
              <w:rPr>
                <w:rFonts w:asciiTheme="minorHAnsi" w:eastAsiaTheme="minorHAnsi" w:hAnsiTheme="minorHAnsi" w:cstheme="minorHAnsi"/>
                <w:i/>
                <w:color w:val="050505"/>
                <w:sz w:val="22"/>
                <w:szCs w:val="17"/>
                <w:lang w:eastAsia="en-US"/>
              </w:rPr>
              <w:t xml:space="preserve">Marcas y ante los Tribunales civiles a quien la hubiera planteado con el mismo objeto ante la jurisdicción contencioso-administrativa. Igualmente ha sido objeto de especial atención la litispendencia y la </w:t>
            </w:r>
            <w:proofErr w:type="gramStart"/>
            <w:r w:rsidRPr="00202DAB">
              <w:rPr>
                <w:rFonts w:asciiTheme="minorHAnsi" w:eastAsiaTheme="minorHAnsi" w:hAnsiTheme="minorHAnsi" w:cstheme="minorHAnsi"/>
                <w:i/>
                <w:color w:val="050505"/>
                <w:sz w:val="22"/>
                <w:szCs w:val="17"/>
                <w:lang w:eastAsia="en-US"/>
              </w:rPr>
              <w:t>prejudicialidad</w:t>
            </w:r>
            <w:proofErr w:type="gramEnd"/>
            <w:r w:rsidRPr="00202DAB">
              <w:rPr>
                <w:rFonts w:asciiTheme="minorHAnsi" w:eastAsiaTheme="minorHAnsi" w:hAnsiTheme="minorHAnsi" w:cstheme="minorHAnsi"/>
                <w:i/>
                <w:color w:val="050505"/>
                <w:sz w:val="22"/>
                <w:szCs w:val="17"/>
                <w:lang w:eastAsia="en-US"/>
              </w:rPr>
              <w:t xml:space="preserve"> así como la existencia de procedimientos administrativos previos de nulidad o caducidad, dadas las interferencias que pueden producirse entre los órganos administrativos y jurisdiccionales cuando existan pretensiones planteadas ante órganos diferentes en los que exista una conexión que condicione la resolución a adoptar.</w:t>
            </w: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b/>
                <w:i/>
                <w:color w:val="000000"/>
                <w:sz w:val="22"/>
                <w:szCs w:val="22"/>
                <w:lang w:eastAsia="en-US"/>
              </w:rPr>
              <w:t>VIII</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Al regular las causas de nulidad o caducidad de las marcas colectivas se delimita con claridad la competencia para su declaración de la Oficina Española de Patentes y Marcas o de los Tribunales de Justicia por vía de reconvención, según proceda.</w:t>
            </w:r>
          </w:p>
          <w:p w:rsidR="00202DAB" w:rsidRPr="00202DAB" w:rsidRDefault="00202DAB" w:rsidP="00202DAB">
            <w:pPr>
              <w:shd w:val="clear" w:color="auto" w:fill="00B0F0"/>
              <w:jc w:val="both"/>
              <w:rPr>
                <w:rFonts w:ascii="Calibri" w:eastAsia="Calibri" w:hAnsi="Calibri"/>
                <w:b/>
                <w:i/>
                <w:color w:val="000000"/>
                <w:sz w:val="22"/>
                <w:szCs w:val="22"/>
                <w:lang w:eastAsia="en-US"/>
              </w:rPr>
            </w:pP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b/>
                <w:i/>
                <w:color w:val="000000"/>
                <w:sz w:val="22"/>
                <w:szCs w:val="22"/>
                <w:lang w:eastAsia="en-US"/>
              </w:rPr>
              <w:t>VIII</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Al regular las causas de nulidad o caducidad de las marcas colectivas se delimita con claridad la competencia para su declaración de la Oficina Española de Patentes y Marcas o de los Tribunales de Justicia, según proceda.</w:t>
            </w:r>
          </w:p>
          <w:p w:rsidR="00202DAB" w:rsidRPr="00202DAB" w:rsidRDefault="00202DAB" w:rsidP="00202DAB">
            <w:pPr>
              <w:shd w:val="clear" w:color="auto" w:fill="00B0F0"/>
              <w:jc w:val="both"/>
              <w:rPr>
                <w:rFonts w:asciiTheme="minorHAnsi" w:eastAsia="Calibri" w:hAnsiTheme="minorHAnsi" w:cstheme="minorHAnsi"/>
                <w:b/>
                <w:i/>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b/>
                <w:bCs/>
                <w:i/>
                <w:color w:val="070707"/>
                <w:sz w:val="22"/>
                <w:szCs w:val="22"/>
                <w:lang w:eastAsia="en-US"/>
              </w:rPr>
            </w:pPr>
            <w:r w:rsidRPr="00202DAB">
              <w:rPr>
                <w:rFonts w:asciiTheme="minorHAnsi" w:eastAsiaTheme="minorHAnsi" w:hAnsiTheme="minorHAnsi" w:cstheme="minorHAnsi"/>
                <w:b/>
                <w:bCs/>
                <w:i/>
                <w:color w:val="070707"/>
                <w:sz w:val="22"/>
                <w:szCs w:val="22"/>
                <w:lang w:eastAsia="en-US"/>
              </w:rPr>
              <w:t>XII</w:t>
            </w:r>
          </w:p>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Theme="minorHAnsi" w:eastAsiaTheme="minorHAnsi" w:hAnsiTheme="minorHAnsi" w:cstheme="minorHAnsi"/>
                <w:i/>
                <w:color w:val="070707"/>
                <w:sz w:val="22"/>
                <w:szCs w:val="22"/>
                <w:lang w:eastAsia="en-US"/>
              </w:rPr>
              <w:t xml:space="preserve">La </w:t>
            </w:r>
            <w:r w:rsidRPr="00202DAB">
              <w:rPr>
                <w:rFonts w:asciiTheme="minorHAnsi" w:eastAsiaTheme="minorHAnsi" w:hAnsiTheme="minorHAnsi" w:cstheme="minorHAnsi"/>
                <w:i/>
                <w:sz w:val="22"/>
                <w:szCs w:val="22"/>
                <w:lang w:eastAsia="en-US"/>
              </w:rPr>
              <w:t>atribución de la competencia en materia de nulidad y caducidad de marcas por vía directa a la Oficina Española de Patentes y Marcas y el hecho de estar compartida esta competencia con los Tribunales de Justicia cuando se plantee por vía reconvencional en acciones por violación de marcas ha hecho necesaria una modificación de las normas reguladoras de la competencia de los Tribunales de Justicia contenidas en la disposición adicional primera de la Ley de Marcas. En este sentido la citada disposición, que fue objeto de modificación por la Ley 24/ 2015,de 24 de julio, de Patentes, ha sido objeto de una nueva modificación en la presente Ley, declarándose aplicables a las diferentes modalidades de signos distintivos las normas contenidas en el título XII de la Ley de Patentes en la medida en que no sean incompatibles con su propia naturaleza, declarándose además expresamente en dicha norma que la competencia para declarar la nulidad y caducidad de los signos distintivos corresponde a la Oficina Española de Patentes y Marcas por vía directa y por vía de reconvención a la jurisdicción civil. No sufre modificación la regulación de la competencia de los Juzgados de lo Mercantil con funciones de Jugados de Marca Comunitaria, tal como se regula en la Ley 24/2015 antes citada.</w:t>
            </w:r>
          </w:p>
        </w:tc>
        <w:tc>
          <w:tcPr>
            <w:tcW w:w="4322" w:type="dxa"/>
            <w:shd w:val="clear" w:color="auto" w:fill="FFFFFF" w:themeFill="background1"/>
          </w:tcPr>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b/>
                <w:bCs/>
                <w:i/>
                <w:color w:val="070707"/>
                <w:sz w:val="22"/>
                <w:szCs w:val="22"/>
                <w:lang w:eastAsia="en-US"/>
              </w:rPr>
            </w:pPr>
            <w:r w:rsidRPr="00202DAB">
              <w:rPr>
                <w:rFonts w:asciiTheme="minorHAnsi" w:eastAsiaTheme="minorHAnsi" w:hAnsiTheme="minorHAnsi" w:cstheme="minorHAnsi"/>
                <w:b/>
                <w:bCs/>
                <w:i/>
                <w:color w:val="070707"/>
                <w:sz w:val="22"/>
                <w:szCs w:val="22"/>
                <w:lang w:eastAsia="en-US"/>
              </w:rPr>
              <w:t>XII</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22"/>
                <w:lang w:eastAsia="en-US"/>
              </w:rPr>
            </w:pPr>
            <w:r w:rsidRPr="00202DAB">
              <w:rPr>
                <w:rFonts w:asciiTheme="minorHAnsi" w:eastAsiaTheme="minorHAnsi" w:hAnsiTheme="minorHAnsi" w:cstheme="minorHAnsi"/>
                <w:i/>
                <w:color w:val="070707"/>
                <w:sz w:val="22"/>
                <w:szCs w:val="22"/>
                <w:lang w:eastAsia="en-US"/>
              </w:rPr>
              <w:t>La atribución de competencia en materia de nulidad y caducidad de marcas a la Oficina Española de Patentes y Marcas y el hecho de estar compartida esta competencia con los Tribunales de Justicia ha hecho necesaria una modificación de las normas reguladoras de la competencia de los Tribunales de Justicia contenidas en la disposición adicional primera de la Ley de Marcas. En este sentido la citada disposición, que fue objeto de modificación por la Ley 24</w:t>
            </w:r>
            <w:r w:rsidRPr="00202DAB">
              <w:rPr>
                <w:rFonts w:asciiTheme="minorHAnsi" w:eastAsiaTheme="minorHAnsi" w:hAnsiTheme="minorHAnsi" w:cstheme="minorHAnsi"/>
                <w:i/>
                <w:color w:val="282828"/>
                <w:sz w:val="22"/>
                <w:szCs w:val="22"/>
                <w:lang w:eastAsia="en-US"/>
              </w:rPr>
              <w:t xml:space="preserve">/ </w:t>
            </w:r>
            <w:r w:rsidRPr="00202DAB">
              <w:rPr>
                <w:rFonts w:asciiTheme="minorHAnsi" w:eastAsiaTheme="minorHAnsi" w:hAnsiTheme="minorHAnsi" w:cstheme="minorHAnsi"/>
                <w:i/>
                <w:color w:val="070707"/>
                <w:sz w:val="22"/>
                <w:szCs w:val="22"/>
                <w:lang w:eastAsia="en-US"/>
              </w:rPr>
              <w:t>2015</w:t>
            </w:r>
            <w:r w:rsidRPr="00202DAB">
              <w:rPr>
                <w:rFonts w:asciiTheme="minorHAnsi" w:eastAsiaTheme="minorHAnsi" w:hAnsiTheme="minorHAnsi" w:cstheme="minorHAnsi"/>
                <w:i/>
                <w:color w:val="282828"/>
                <w:sz w:val="22"/>
                <w:szCs w:val="22"/>
                <w:lang w:eastAsia="en-US"/>
              </w:rPr>
              <w:t>,</w:t>
            </w:r>
            <w:r w:rsidRPr="00202DAB">
              <w:rPr>
                <w:rFonts w:asciiTheme="minorHAnsi" w:eastAsiaTheme="minorHAnsi" w:hAnsiTheme="minorHAnsi" w:cstheme="minorHAnsi"/>
                <w:i/>
                <w:color w:val="070707"/>
                <w:sz w:val="22"/>
                <w:szCs w:val="22"/>
                <w:lang w:eastAsia="en-US"/>
              </w:rPr>
              <w:t>de 24 de julio, de Patentes, ha sido objeto de una nueva modificación en la presente Ley</w:t>
            </w:r>
            <w:r w:rsidRPr="00202DAB">
              <w:rPr>
                <w:rFonts w:asciiTheme="minorHAnsi" w:eastAsiaTheme="minorHAnsi" w:hAnsiTheme="minorHAnsi" w:cstheme="minorHAnsi"/>
                <w:i/>
                <w:color w:val="282828"/>
                <w:sz w:val="22"/>
                <w:szCs w:val="22"/>
                <w:lang w:eastAsia="en-US"/>
              </w:rPr>
              <w:t xml:space="preserve">, </w:t>
            </w:r>
            <w:r w:rsidRPr="00202DAB">
              <w:rPr>
                <w:rFonts w:asciiTheme="minorHAnsi" w:eastAsiaTheme="minorHAnsi" w:hAnsiTheme="minorHAnsi" w:cstheme="minorHAnsi"/>
                <w:i/>
                <w:color w:val="070707"/>
                <w:sz w:val="22"/>
                <w:szCs w:val="22"/>
                <w:lang w:eastAsia="en-US"/>
              </w:rPr>
              <w:t>declarándose aplicables a las diferentes modalidades de signos distintivos las normas contenidas en el título XII de la Ley de Patentes en la medida en que no sean incompatibles con su propia naturaleza</w:t>
            </w:r>
            <w:r w:rsidRPr="00202DAB">
              <w:rPr>
                <w:rFonts w:asciiTheme="minorHAnsi" w:eastAsiaTheme="minorHAnsi" w:hAnsiTheme="minorHAnsi" w:cstheme="minorHAnsi"/>
                <w:i/>
                <w:color w:val="282828"/>
                <w:sz w:val="22"/>
                <w:szCs w:val="22"/>
                <w:lang w:eastAsia="en-US"/>
              </w:rPr>
              <w:t xml:space="preserve">, </w:t>
            </w:r>
            <w:r w:rsidRPr="00202DAB">
              <w:rPr>
                <w:rFonts w:asciiTheme="minorHAnsi" w:eastAsiaTheme="minorHAnsi" w:hAnsiTheme="minorHAnsi" w:cstheme="minorHAnsi"/>
                <w:i/>
                <w:color w:val="070707"/>
                <w:sz w:val="22"/>
                <w:szCs w:val="22"/>
                <w:lang w:eastAsia="en-US"/>
              </w:rPr>
              <w:t>declarándose además expresamente en dicha norma que la competencia para declarar la nulidad y caducidad de los signos distintivos corresponde a la Oficina Española de Patentes y Marcas y a la jurisdicción civil. No sufre modificación la regulación de la competencia de los Juzgados de lo Mercantil con funciones de Jugados de Marca Comunitaria</w:t>
            </w:r>
            <w:r w:rsidRPr="00202DAB">
              <w:rPr>
                <w:rFonts w:asciiTheme="minorHAnsi" w:eastAsiaTheme="minorHAnsi" w:hAnsiTheme="minorHAnsi" w:cstheme="minorHAnsi"/>
                <w:i/>
                <w:color w:val="282828"/>
                <w:sz w:val="22"/>
                <w:szCs w:val="22"/>
                <w:lang w:eastAsia="en-US"/>
              </w:rPr>
              <w:t xml:space="preserve">, </w:t>
            </w:r>
            <w:r w:rsidRPr="00202DAB">
              <w:rPr>
                <w:rFonts w:asciiTheme="minorHAnsi" w:eastAsiaTheme="minorHAnsi" w:hAnsiTheme="minorHAnsi" w:cstheme="minorHAnsi"/>
                <w:i/>
                <w:color w:val="070707"/>
                <w:sz w:val="22"/>
                <w:szCs w:val="22"/>
                <w:lang w:eastAsia="en-US"/>
              </w:rPr>
              <w:t>tal como se regula en la Ley 24/2015 antes citada.</w:t>
            </w: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b/>
                <w:i/>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b/>
                <w:i/>
                <w:color w:val="000000"/>
                <w:sz w:val="22"/>
                <w:szCs w:val="22"/>
                <w:lang w:eastAsia="en-US"/>
              </w:rPr>
              <w:t>XIV</w:t>
            </w:r>
          </w:p>
          <w:p w:rsidR="00202DAB" w:rsidRPr="00202DAB" w:rsidRDefault="00202DAB" w:rsidP="00202DAB">
            <w:pPr>
              <w:shd w:val="clear" w:color="auto" w:fill="00B0F0"/>
              <w:jc w:val="both"/>
              <w:rPr>
                <w:rFonts w:asciiTheme="minorHAnsi" w:eastAsia="Calibri" w:hAnsiTheme="minorHAnsi" w:cstheme="minorHAnsi"/>
                <w:i/>
                <w:color w:val="000000"/>
                <w:sz w:val="22"/>
                <w:szCs w:val="22"/>
                <w:lang w:eastAsia="en-US"/>
              </w:rPr>
            </w:pPr>
            <w:r w:rsidRPr="00202DAB">
              <w:rPr>
                <w:rFonts w:asciiTheme="minorHAnsi" w:eastAsia="Calibri" w:hAnsiTheme="minorHAnsi" w:cstheme="minorHAnsi"/>
                <w:i/>
                <w:color w:val="000000"/>
                <w:sz w:val="22"/>
                <w:szCs w:val="22"/>
                <w:lang w:eastAsia="en-US"/>
              </w:rPr>
              <w:t>(…)</w:t>
            </w:r>
          </w:p>
          <w:p w:rsidR="00202DAB" w:rsidRPr="00202DAB" w:rsidRDefault="00202DAB" w:rsidP="00202DAB">
            <w:pPr>
              <w:shd w:val="clear" w:color="auto" w:fill="00B0F0"/>
              <w:autoSpaceDE w:val="0"/>
              <w:autoSpaceDN w:val="0"/>
              <w:adjustRightInd w:val="0"/>
              <w:jc w:val="both"/>
              <w:rPr>
                <w:rFonts w:ascii="Calibri" w:eastAsia="Calibri" w:hAnsi="Calibri"/>
                <w:b/>
                <w:i/>
                <w:color w:val="000000"/>
                <w:sz w:val="22"/>
                <w:szCs w:val="22"/>
                <w:lang w:eastAsia="en-US"/>
              </w:rPr>
            </w:pPr>
            <w:r w:rsidRPr="00202DAB">
              <w:rPr>
                <w:rFonts w:asciiTheme="minorHAnsi" w:eastAsiaTheme="minorHAnsi" w:hAnsiTheme="minorHAnsi" w:cstheme="minorHAnsi"/>
                <w:i/>
                <w:color w:val="050505"/>
                <w:sz w:val="22"/>
                <w:szCs w:val="22"/>
                <w:lang w:eastAsia="en-US"/>
              </w:rPr>
              <w:t>El h</w:t>
            </w:r>
            <w:r w:rsidRPr="00202DAB">
              <w:rPr>
                <w:rFonts w:asciiTheme="minorHAnsi" w:eastAsiaTheme="minorHAnsi" w:hAnsiTheme="minorHAnsi" w:cstheme="minorHAnsi"/>
                <w:i/>
                <w:sz w:val="22"/>
                <w:szCs w:val="22"/>
                <w:lang w:eastAsia="en-US"/>
              </w:rPr>
              <w:t>echo de haberse demorado la entrada en vigor de la competencia directa de la Oficina Española de Patentes y Marcas para el conocimiento de las solicitudes de nulidad y caducidad de signos distintivos hasta el día 14 de enero de 2023 ha hecho precisa la regulación de una normativa transitoria que regule específicamente esta cuestión, de forma que hasta que la Oficina Española de Patentes y Marcas adquiera la competencia para declarar la nulidad o la caducidad de los signos distintivos, será</w:t>
            </w:r>
            <w:r w:rsidRPr="00202DAB">
              <w:rPr>
                <w:rFonts w:asciiTheme="minorHAnsi" w:eastAsiaTheme="minorHAnsi" w:hAnsiTheme="minorHAnsi" w:cstheme="minorHAnsi"/>
                <w:i/>
                <w:color w:val="050505"/>
                <w:sz w:val="22"/>
                <w:szCs w:val="22"/>
                <w:lang w:eastAsia="en-US"/>
              </w:rPr>
              <w:t xml:space="preserve"> competente la jurisdicción civil, pero serán aplicables las normas sustantivas que regulan la materia contenidas en el nuevo Título VI de esta Ley.</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b/>
                <w:i/>
                <w:color w:val="000000"/>
                <w:sz w:val="22"/>
                <w:szCs w:val="22"/>
                <w:lang w:eastAsia="en-US"/>
              </w:rPr>
              <w:t>XIV</w:t>
            </w:r>
          </w:p>
          <w:p w:rsidR="00202DAB" w:rsidRPr="00202DAB" w:rsidRDefault="00202DAB" w:rsidP="00202DAB">
            <w:pPr>
              <w:shd w:val="clear" w:color="auto" w:fill="00B0F0"/>
              <w:jc w:val="both"/>
              <w:rPr>
                <w:rFonts w:asciiTheme="minorHAnsi" w:eastAsia="Calibri" w:hAnsiTheme="minorHAnsi" w:cstheme="minorHAnsi"/>
                <w:i/>
                <w:color w:val="000000"/>
                <w:sz w:val="22"/>
                <w:szCs w:val="22"/>
                <w:lang w:eastAsia="en-US"/>
              </w:rPr>
            </w:pPr>
            <w:r w:rsidRPr="00202DAB">
              <w:rPr>
                <w:rFonts w:asciiTheme="minorHAnsi" w:eastAsia="Calibri" w:hAnsiTheme="minorHAnsi" w:cstheme="minorHAnsi"/>
                <w:i/>
                <w:color w:val="000000"/>
                <w:sz w:val="22"/>
                <w:szCs w:val="22"/>
                <w:lang w:eastAsia="en-US"/>
              </w:rPr>
              <w:t>(…)</w:t>
            </w:r>
          </w:p>
          <w:p w:rsidR="00202DAB" w:rsidRPr="00202DAB" w:rsidRDefault="00202DAB" w:rsidP="00202DAB">
            <w:pPr>
              <w:shd w:val="clear" w:color="auto" w:fill="00B0F0"/>
              <w:jc w:val="both"/>
              <w:rPr>
                <w:rFonts w:asciiTheme="minorHAnsi" w:eastAsiaTheme="minorHAnsi" w:hAnsiTheme="minorHAnsi" w:cstheme="minorHAnsi"/>
                <w:i/>
                <w:color w:val="050505"/>
                <w:sz w:val="22"/>
                <w:szCs w:val="22"/>
                <w:lang w:eastAsia="en-US"/>
              </w:rPr>
            </w:pPr>
            <w:r w:rsidRPr="00202DAB">
              <w:rPr>
                <w:rFonts w:asciiTheme="minorHAnsi" w:eastAsiaTheme="minorHAnsi" w:hAnsiTheme="minorHAnsi" w:cstheme="minorHAnsi"/>
                <w:i/>
                <w:color w:val="050505"/>
                <w:sz w:val="22"/>
                <w:szCs w:val="22"/>
                <w:lang w:eastAsia="en-US"/>
              </w:rPr>
              <w:t xml:space="preserve">El hecho de haberse demorado la entrada en vigor de competencia de la Oficina Española de Patentes y Marcas para el conocimiento de las solicitudes de nulidad </w:t>
            </w:r>
            <w:r w:rsidRPr="00202DAB">
              <w:rPr>
                <w:rFonts w:asciiTheme="minorHAnsi" w:eastAsiaTheme="minorHAnsi" w:hAnsiTheme="minorHAnsi" w:cstheme="minorHAnsi"/>
                <w:i/>
                <w:color w:val="1C1C1C"/>
                <w:sz w:val="22"/>
                <w:szCs w:val="22"/>
                <w:lang w:eastAsia="en-US"/>
              </w:rPr>
              <w:t xml:space="preserve">y </w:t>
            </w:r>
            <w:r w:rsidRPr="00202DAB">
              <w:rPr>
                <w:rFonts w:asciiTheme="minorHAnsi" w:eastAsiaTheme="minorHAnsi" w:hAnsiTheme="minorHAnsi" w:cstheme="minorHAnsi"/>
                <w:i/>
                <w:color w:val="050505"/>
                <w:sz w:val="22"/>
                <w:szCs w:val="22"/>
                <w:lang w:eastAsia="en-US"/>
              </w:rPr>
              <w:t xml:space="preserve">caducidad de signos distintivos hasta el día 14 de enero de 2023 ha hecho precisa la regulación de una normativa transitoria que regule específicamente esta cuestión, de forma que hasta que la Oficina Española de Patentes y Marcas adquiera competencia para declarar la nulidad o la caducidad de los signos distintivos, será </w:t>
            </w:r>
            <w:r w:rsidRPr="00202DAB">
              <w:rPr>
                <w:rFonts w:asciiTheme="minorHAnsi" w:eastAsiaTheme="minorHAnsi" w:hAnsiTheme="minorHAnsi" w:cstheme="minorHAnsi"/>
                <w:i/>
                <w:color w:val="000000" w:themeColor="text1"/>
                <w:sz w:val="22"/>
                <w:szCs w:val="22"/>
                <w:lang w:eastAsia="en-US"/>
              </w:rPr>
              <w:t xml:space="preserve">únicamente </w:t>
            </w:r>
            <w:r w:rsidRPr="00202DAB">
              <w:rPr>
                <w:rFonts w:asciiTheme="minorHAnsi" w:eastAsiaTheme="minorHAnsi" w:hAnsiTheme="minorHAnsi" w:cstheme="minorHAnsi"/>
                <w:i/>
                <w:color w:val="050505"/>
                <w:sz w:val="22"/>
                <w:szCs w:val="22"/>
                <w:lang w:eastAsia="en-US"/>
              </w:rPr>
              <w:t>competente la jurisdicción civil, pero serán aplicables las normas sustantivas que regulan la materia contenidas en el nuevo Título VI de esta Ley.</w:t>
            </w:r>
          </w:p>
          <w:p w:rsidR="00202DAB" w:rsidRPr="00202DAB" w:rsidRDefault="00202DAB" w:rsidP="00202DAB">
            <w:pPr>
              <w:shd w:val="clear" w:color="auto" w:fill="00B0F0"/>
              <w:jc w:val="both"/>
              <w:rPr>
                <w:rFonts w:asciiTheme="minorHAnsi" w:eastAsia="Calibri" w:hAnsiTheme="minorHAnsi" w:cstheme="minorHAnsi"/>
                <w:b/>
                <w:i/>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51. </w:t>
            </w:r>
            <w:r w:rsidRPr="00202DAB">
              <w:rPr>
                <w:rFonts w:ascii="Calibri" w:eastAsia="Calibri" w:hAnsi="Calibri"/>
                <w:b/>
                <w:i/>
                <w:iCs/>
                <w:color w:val="000000"/>
                <w:sz w:val="22"/>
                <w:szCs w:val="22"/>
                <w:lang w:eastAsia="en-US"/>
              </w:rPr>
              <w:t>Causas de nulidad absoluta.</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1. El registro de la marca podrá declararse nulo mediante solicitud presentada ante la Oficina Española de Patentes y Marcas o mediante demanda reconvencional en una acción por violación de marca:</w:t>
            </w:r>
          </w:p>
        </w:tc>
        <w:tc>
          <w:tcPr>
            <w:tcW w:w="4322" w:type="dxa"/>
            <w:shd w:val="clear" w:color="auto" w:fill="FFFFFF" w:themeFill="background1"/>
          </w:tcPr>
          <w:p w:rsidR="00202DAB" w:rsidRPr="00202DAB" w:rsidRDefault="00202DAB" w:rsidP="00202DAB">
            <w:pPr>
              <w:shd w:val="clear" w:color="auto" w:fill="00B0F0"/>
              <w:jc w:val="both"/>
              <w:rPr>
                <w:rFonts w:asciiTheme="minorHAnsi" w:eastAsia="Calibri" w:hAnsiTheme="minorHAnsi" w:cstheme="minorHAnsi"/>
                <w:b/>
                <w:i/>
                <w:iCs/>
                <w:color w:val="000000"/>
                <w:sz w:val="22"/>
                <w:szCs w:val="22"/>
                <w:lang w:eastAsia="en-US"/>
              </w:rPr>
            </w:pPr>
            <w:r w:rsidRPr="00202DAB">
              <w:rPr>
                <w:rFonts w:asciiTheme="minorHAnsi" w:eastAsia="Calibri" w:hAnsiTheme="minorHAnsi" w:cstheme="minorHAnsi"/>
                <w:b/>
                <w:i/>
                <w:color w:val="000000"/>
                <w:sz w:val="22"/>
                <w:szCs w:val="22"/>
                <w:lang w:eastAsia="en-US"/>
              </w:rPr>
              <w:t xml:space="preserve">Artículo 51. </w:t>
            </w:r>
            <w:r w:rsidRPr="00202DAB">
              <w:rPr>
                <w:rFonts w:asciiTheme="minorHAnsi" w:eastAsia="Calibri" w:hAnsiTheme="minorHAnsi" w:cstheme="minorHAnsi"/>
                <w:b/>
                <w:i/>
                <w:iCs/>
                <w:color w:val="000000"/>
                <w:sz w:val="22"/>
                <w:szCs w:val="22"/>
                <w:lang w:eastAsia="en-US"/>
              </w:rPr>
              <w:t>Causas de nulidad absoluta.</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50505"/>
                <w:sz w:val="22"/>
                <w:szCs w:val="22"/>
                <w:lang w:eastAsia="en-US"/>
              </w:rPr>
            </w:pPr>
            <w:r w:rsidRPr="00202DAB">
              <w:rPr>
                <w:rFonts w:asciiTheme="minorHAnsi" w:eastAsiaTheme="minorHAnsi" w:hAnsiTheme="minorHAnsi" w:cstheme="minorHAnsi"/>
                <w:i/>
                <w:color w:val="050505"/>
                <w:sz w:val="22"/>
                <w:szCs w:val="22"/>
                <w:lang w:eastAsia="en-US"/>
              </w:rPr>
              <w:t>El registro de la marca podrá declararse nulo mediante solicitud presentada ante la Oficina</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00000" w:themeColor="text1"/>
                <w:sz w:val="22"/>
                <w:szCs w:val="22"/>
                <w:lang w:eastAsia="en-US"/>
              </w:rPr>
            </w:pPr>
            <w:r w:rsidRPr="00202DAB">
              <w:rPr>
                <w:rFonts w:asciiTheme="minorHAnsi" w:eastAsiaTheme="minorHAnsi" w:hAnsiTheme="minorHAnsi" w:cstheme="minorHAnsi"/>
                <w:i/>
                <w:color w:val="050505"/>
                <w:sz w:val="22"/>
                <w:szCs w:val="22"/>
                <w:lang w:eastAsia="en-US"/>
              </w:rPr>
              <w:t xml:space="preserve">Española de Patentes y Marcas o mediante demanda </w:t>
            </w:r>
            <w:r w:rsidRPr="00202DAB">
              <w:rPr>
                <w:rFonts w:asciiTheme="minorHAnsi" w:eastAsiaTheme="minorHAnsi" w:hAnsiTheme="minorHAnsi" w:cstheme="minorHAnsi"/>
                <w:i/>
                <w:color w:val="000000" w:themeColor="text1"/>
                <w:sz w:val="22"/>
                <w:szCs w:val="22"/>
                <w:lang w:eastAsia="en-US"/>
              </w:rPr>
              <w:t>presentada ante la jurisdicción civil,</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Theme="minorHAnsi" w:eastAsiaTheme="minorHAnsi" w:hAnsiTheme="minorHAnsi" w:cstheme="minorHAnsi"/>
                <w:i/>
                <w:color w:val="000000" w:themeColor="text1"/>
                <w:sz w:val="22"/>
                <w:szCs w:val="22"/>
                <w:lang w:eastAsia="en-US"/>
              </w:rPr>
              <w:t>a elección del solicitante</w:t>
            </w:r>
            <w:r w:rsidRPr="00202DAB">
              <w:rPr>
                <w:rFonts w:asciiTheme="minorHAnsi" w:eastAsiaTheme="minorHAnsi" w:hAnsiTheme="minorHAnsi" w:cstheme="minorHAnsi"/>
                <w:i/>
                <w:color w:val="B6082E"/>
                <w:sz w:val="22"/>
                <w:szCs w:val="22"/>
                <w:lang w:eastAsia="en-US"/>
              </w:rPr>
              <w:t xml:space="preserve">. </w:t>
            </w: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52. </w:t>
            </w:r>
            <w:r w:rsidRPr="00202DAB">
              <w:rPr>
                <w:rFonts w:ascii="Calibri" w:eastAsia="Calibri" w:hAnsi="Calibri"/>
                <w:b/>
                <w:i/>
                <w:iCs/>
                <w:color w:val="000000"/>
                <w:sz w:val="22"/>
                <w:szCs w:val="22"/>
                <w:lang w:eastAsia="en-US"/>
              </w:rPr>
              <w:t>Causas de nulidad relativa.</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1. El registro de la marca podrá declararse nulo mediante solicitud presentada ante la Oficina Española de Patentes y Marcas o mediante demanda reconvencional en una acción por violación de marca cuando contravenga lo dispuesto en los artículos 6, 7, 8, 9 y 10.</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autoSpaceDE w:val="0"/>
              <w:autoSpaceDN w:val="0"/>
              <w:adjustRightInd w:val="0"/>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3. No podrá declararse nula una marca cuando, antes de la presentación de la solicitud de nulidad o de la demanda de reconvención, el titular de uno de los derechos contemplados en los artículos citados en el apartado 1hubiera dado expresamente su consentimiento al registro de esa marca.</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Theme="minorHAnsi" w:eastAsiaTheme="minorHAnsi" w:hAnsiTheme="minorHAnsi" w:cstheme="minorHAnsi"/>
                <w:i/>
                <w:color w:val="070707"/>
                <w:sz w:val="22"/>
                <w:szCs w:val="17"/>
                <w:lang w:eastAsia="en-US"/>
              </w:rPr>
              <w:t xml:space="preserve">4. El titular de alguno de los derechos contemplados en los artículos citados en el apartado 1 que hubiera </w:t>
            </w:r>
            <w:r w:rsidRPr="00202DAB">
              <w:rPr>
                <w:rFonts w:asciiTheme="minorHAnsi" w:eastAsiaTheme="minorHAnsi" w:hAnsiTheme="minorHAnsi" w:cstheme="minorHAnsi"/>
                <w:i/>
                <w:color w:val="1C1C1C"/>
                <w:sz w:val="22"/>
                <w:szCs w:val="17"/>
                <w:lang w:eastAsia="en-US"/>
              </w:rPr>
              <w:t xml:space="preserve">solicitado </w:t>
            </w:r>
            <w:r w:rsidRPr="00202DAB">
              <w:rPr>
                <w:rFonts w:asciiTheme="minorHAnsi" w:eastAsiaTheme="minorHAnsi" w:hAnsiTheme="minorHAnsi" w:cstheme="minorHAnsi"/>
                <w:i/>
                <w:sz w:val="22"/>
                <w:szCs w:val="17"/>
                <w:lang w:eastAsia="en-US"/>
              </w:rPr>
              <w:t xml:space="preserve">previamente la nulidad de una marca o </w:t>
            </w:r>
            <w:proofErr w:type="gramStart"/>
            <w:r w:rsidRPr="00202DAB">
              <w:rPr>
                <w:rFonts w:asciiTheme="minorHAnsi" w:eastAsiaTheme="minorHAnsi" w:hAnsiTheme="minorHAnsi" w:cstheme="minorHAnsi"/>
                <w:i/>
                <w:sz w:val="22"/>
                <w:szCs w:val="17"/>
                <w:lang w:eastAsia="en-US"/>
              </w:rPr>
              <w:t>presentado demanda</w:t>
            </w:r>
            <w:proofErr w:type="gramEnd"/>
            <w:r w:rsidRPr="00202DAB">
              <w:rPr>
                <w:rFonts w:asciiTheme="minorHAnsi" w:eastAsiaTheme="minorHAnsi" w:hAnsiTheme="minorHAnsi" w:cstheme="minorHAnsi"/>
                <w:i/>
                <w:sz w:val="22"/>
                <w:szCs w:val="17"/>
                <w:lang w:eastAsia="en-US"/>
              </w:rPr>
              <w:t xml:space="preserve"> de reconvención en una acción por violación de marca, no podrá presentar otra solicitud de nulidad ni una demanda de reconvención fundada sobre otro de esos derechos que</w:t>
            </w:r>
            <w:r w:rsidRPr="00202DAB">
              <w:rPr>
                <w:rFonts w:asciiTheme="minorHAnsi" w:eastAsiaTheme="minorHAnsi" w:hAnsiTheme="minorHAnsi" w:cstheme="minorHAnsi"/>
                <w:i/>
                <w:color w:val="070707"/>
                <w:sz w:val="22"/>
                <w:szCs w:val="17"/>
                <w:lang w:eastAsia="en-US"/>
              </w:rPr>
              <w:t xml:space="preserve"> hubiera podido alegar en apoyo de la primera demanda.</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52. </w:t>
            </w:r>
            <w:r w:rsidRPr="00202DAB">
              <w:rPr>
                <w:rFonts w:ascii="Calibri" w:eastAsia="Calibri" w:hAnsi="Calibri"/>
                <w:b/>
                <w:i/>
                <w:iCs/>
                <w:color w:val="000000"/>
                <w:sz w:val="22"/>
                <w:szCs w:val="22"/>
                <w:lang w:eastAsia="en-US"/>
              </w:rPr>
              <w:t>Causas de nulidad relativa.</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r w:rsidRPr="00202DAB">
              <w:rPr>
                <w:rFonts w:asciiTheme="minorHAnsi" w:eastAsiaTheme="minorHAnsi" w:hAnsiTheme="minorHAnsi" w:cstheme="minorHAnsi"/>
                <w:i/>
                <w:color w:val="070707"/>
                <w:sz w:val="22"/>
                <w:szCs w:val="17"/>
                <w:lang w:eastAsia="en-US"/>
              </w:rPr>
              <w:t>El registro de la marca podrá declararse nulo mediante solicitud presentada ante la Oficina</w:t>
            </w:r>
          </w:p>
          <w:p w:rsidR="00202DAB" w:rsidRPr="00202DAB" w:rsidRDefault="00202DAB" w:rsidP="00202DAB">
            <w:pPr>
              <w:shd w:val="clear" w:color="auto" w:fill="00B0F0"/>
              <w:autoSpaceDE w:val="0"/>
              <w:autoSpaceDN w:val="0"/>
              <w:adjustRightInd w:val="0"/>
              <w:jc w:val="both"/>
              <w:rPr>
                <w:rFonts w:asciiTheme="minorHAnsi" w:eastAsia="Calibri" w:hAnsiTheme="minorHAnsi" w:cstheme="minorHAnsi"/>
                <w:i/>
                <w:color w:val="000000"/>
                <w:sz w:val="32"/>
                <w:szCs w:val="22"/>
                <w:lang w:eastAsia="en-US"/>
              </w:rPr>
            </w:pPr>
            <w:r w:rsidRPr="00202DAB">
              <w:rPr>
                <w:rFonts w:asciiTheme="minorHAnsi" w:eastAsiaTheme="minorHAnsi" w:hAnsiTheme="minorHAnsi" w:cstheme="minorHAnsi"/>
                <w:i/>
                <w:color w:val="070707"/>
                <w:sz w:val="22"/>
                <w:szCs w:val="17"/>
                <w:lang w:eastAsia="en-US"/>
              </w:rPr>
              <w:t xml:space="preserve">Española de Patentes y Marcas o mediante demanda </w:t>
            </w:r>
            <w:r w:rsidRPr="00202DAB">
              <w:rPr>
                <w:rFonts w:asciiTheme="minorHAnsi" w:eastAsiaTheme="minorHAnsi" w:hAnsiTheme="minorHAnsi" w:cstheme="minorHAnsi"/>
                <w:i/>
                <w:color w:val="000000" w:themeColor="text1"/>
                <w:sz w:val="22"/>
                <w:szCs w:val="17"/>
                <w:lang w:eastAsia="en-US"/>
              </w:rPr>
              <w:t>de nulidad presentada ante la jurisdicción civil, a elección del solicitante</w:t>
            </w:r>
            <w:r w:rsidRPr="00202DAB">
              <w:rPr>
                <w:rFonts w:asciiTheme="minorHAnsi" w:eastAsiaTheme="minorHAnsi" w:hAnsiTheme="minorHAnsi" w:cstheme="minorHAnsi"/>
                <w:i/>
                <w:color w:val="B6082E"/>
                <w:sz w:val="22"/>
                <w:szCs w:val="17"/>
                <w:lang w:eastAsia="en-US"/>
              </w:rPr>
              <w:t xml:space="preserve">, </w:t>
            </w:r>
            <w:r w:rsidRPr="00202DAB">
              <w:rPr>
                <w:rFonts w:asciiTheme="minorHAnsi" w:eastAsiaTheme="minorHAnsi" w:hAnsiTheme="minorHAnsi" w:cstheme="minorHAnsi"/>
                <w:i/>
                <w:color w:val="070707"/>
                <w:sz w:val="22"/>
                <w:szCs w:val="17"/>
                <w:lang w:eastAsia="en-US"/>
              </w:rPr>
              <w:t xml:space="preserve">cuando contravenga lo dispuesto en los artículos 6, 7, 8, 9 </w:t>
            </w:r>
            <w:r w:rsidRPr="00202DAB">
              <w:rPr>
                <w:rFonts w:asciiTheme="minorHAnsi" w:eastAsiaTheme="minorHAnsi" w:hAnsiTheme="minorHAnsi" w:cstheme="minorHAnsi"/>
                <w:i/>
                <w:color w:val="1C1C1C"/>
                <w:sz w:val="22"/>
                <w:szCs w:val="17"/>
                <w:lang w:eastAsia="en-US"/>
              </w:rPr>
              <w:t xml:space="preserve">y </w:t>
            </w:r>
            <w:r w:rsidRPr="00202DAB">
              <w:rPr>
                <w:rFonts w:asciiTheme="minorHAnsi" w:eastAsiaTheme="minorHAnsi" w:hAnsiTheme="minorHAnsi" w:cstheme="minorHAnsi"/>
                <w:i/>
                <w:color w:val="070707"/>
                <w:sz w:val="22"/>
                <w:szCs w:val="17"/>
                <w:lang w:eastAsia="en-US"/>
              </w:rPr>
              <w:t>10.</w:t>
            </w:r>
          </w:p>
          <w:p w:rsidR="00202DAB" w:rsidRPr="00202DAB" w:rsidRDefault="00202DAB" w:rsidP="00202DAB">
            <w:pPr>
              <w:shd w:val="clear" w:color="auto" w:fill="00B0F0"/>
              <w:jc w:val="both"/>
              <w:rPr>
                <w:rFonts w:asciiTheme="minorHAnsi" w:eastAsia="Calibri" w:hAnsiTheme="minorHAnsi" w:cstheme="minorHAnsi"/>
                <w:i/>
                <w:color w:val="000000"/>
                <w:sz w:val="32"/>
                <w:szCs w:val="22"/>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r w:rsidRPr="00202DAB">
              <w:rPr>
                <w:rFonts w:asciiTheme="minorHAnsi" w:eastAsiaTheme="minorHAnsi" w:hAnsiTheme="minorHAnsi" w:cstheme="minorHAnsi"/>
                <w:i/>
                <w:color w:val="070707"/>
                <w:sz w:val="22"/>
                <w:szCs w:val="17"/>
                <w:lang w:eastAsia="en-US"/>
              </w:rPr>
              <w:t>3. No podrá declararse nula una marca cuando</w:t>
            </w:r>
            <w:r w:rsidRPr="00202DAB">
              <w:rPr>
                <w:rFonts w:asciiTheme="minorHAnsi" w:eastAsiaTheme="minorHAnsi" w:hAnsiTheme="minorHAnsi" w:cstheme="minorHAnsi"/>
                <w:i/>
                <w:color w:val="313131"/>
                <w:sz w:val="22"/>
                <w:szCs w:val="17"/>
                <w:lang w:eastAsia="en-US"/>
              </w:rPr>
              <w:t xml:space="preserve">, </w:t>
            </w:r>
            <w:r w:rsidRPr="00202DAB">
              <w:rPr>
                <w:rFonts w:asciiTheme="minorHAnsi" w:eastAsiaTheme="minorHAnsi" w:hAnsiTheme="minorHAnsi" w:cstheme="minorHAnsi"/>
                <w:i/>
                <w:color w:val="070707"/>
                <w:sz w:val="22"/>
                <w:szCs w:val="17"/>
                <w:lang w:eastAsia="en-US"/>
              </w:rPr>
              <w:t xml:space="preserve">antes de la presentación de la solicitud de nulidad o de la demanda de </w:t>
            </w:r>
            <w:r w:rsidRPr="00202DAB">
              <w:rPr>
                <w:rFonts w:asciiTheme="minorHAnsi" w:eastAsiaTheme="minorHAnsi" w:hAnsiTheme="minorHAnsi" w:cstheme="minorHAnsi"/>
                <w:i/>
                <w:color w:val="000000" w:themeColor="text1"/>
                <w:sz w:val="22"/>
                <w:szCs w:val="17"/>
                <w:lang w:eastAsia="en-US"/>
              </w:rPr>
              <w:t>nulidad en vía judicial</w:t>
            </w:r>
            <w:r w:rsidRPr="00202DAB">
              <w:rPr>
                <w:rFonts w:asciiTheme="minorHAnsi" w:eastAsiaTheme="minorHAnsi" w:hAnsiTheme="minorHAnsi" w:cstheme="minorHAnsi"/>
                <w:i/>
                <w:color w:val="070707"/>
                <w:sz w:val="22"/>
                <w:szCs w:val="17"/>
                <w:lang w:eastAsia="en-US"/>
              </w:rPr>
              <w:t>, el titular de uno de los derechos contemplados en los artículos citados en el apartado 1hubiera dado expresamente su consentimiento al registro de esa marca.</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color w:val="070707"/>
                <w:sz w:val="22"/>
                <w:szCs w:val="17"/>
                <w:lang w:eastAsia="en-US"/>
              </w:rPr>
            </w:pPr>
            <w:r w:rsidRPr="00202DAB">
              <w:rPr>
                <w:rFonts w:asciiTheme="minorHAnsi" w:eastAsiaTheme="minorHAnsi" w:hAnsiTheme="minorHAnsi" w:cstheme="minorHAnsi"/>
                <w:i/>
                <w:color w:val="070707"/>
                <w:sz w:val="22"/>
                <w:szCs w:val="17"/>
                <w:lang w:eastAsia="en-US"/>
              </w:rPr>
              <w:t xml:space="preserve">4. El titular de alguno de los derechos contemplados en los artículos citados en el apartado 1 que hubiera </w:t>
            </w:r>
            <w:r w:rsidRPr="00202DAB">
              <w:rPr>
                <w:rFonts w:asciiTheme="minorHAnsi" w:eastAsiaTheme="minorHAnsi" w:hAnsiTheme="minorHAnsi" w:cstheme="minorHAnsi"/>
                <w:i/>
                <w:color w:val="1C1C1C"/>
                <w:sz w:val="22"/>
                <w:szCs w:val="17"/>
                <w:lang w:eastAsia="en-US"/>
              </w:rPr>
              <w:t xml:space="preserve">solicitado </w:t>
            </w:r>
            <w:r w:rsidRPr="00202DAB">
              <w:rPr>
                <w:rFonts w:asciiTheme="minorHAnsi" w:eastAsiaTheme="minorHAnsi" w:hAnsiTheme="minorHAnsi" w:cstheme="minorHAnsi"/>
                <w:i/>
                <w:color w:val="070707"/>
                <w:sz w:val="22"/>
                <w:szCs w:val="17"/>
                <w:lang w:eastAsia="en-US"/>
              </w:rPr>
              <w:t xml:space="preserve">previamente la nulidad de una marca o </w:t>
            </w:r>
            <w:proofErr w:type="gramStart"/>
            <w:r w:rsidRPr="00202DAB">
              <w:rPr>
                <w:rFonts w:asciiTheme="minorHAnsi" w:eastAsiaTheme="minorHAnsi" w:hAnsiTheme="minorHAnsi" w:cstheme="minorHAnsi"/>
                <w:i/>
                <w:color w:val="070707"/>
                <w:sz w:val="22"/>
                <w:szCs w:val="17"/>
                <w:lang w:eastAsia="en-US"/>
              </w:rPr>
              <w:t>presentado demanda</w:t>
            </w:r>
            <w:proofErr w:type="gramEnd"/>
            <w:r w:rsidRPr="00202DAB">
              <w:rPr>
                <w:rFonts w:asciiTheme="minorHAnsi" w:eastAsiaTheme="minorHAnsi" w:hAnsiTheme="minorHAnsi" w:cstheme="minorHAnsi"/>
                <w:i/>
                <w:color w:val="070707"/>
                <w:sz w:val="22"/>
                <w:szCs w:val="17"/>
                <w:lang w:eastAsia="en-US"/>
              </w:rPr>
              <w:t xml:space="preserve"> de </w:t>
            </w:r>
            <w:r w:rsidRPr="00202DAB">
              <w:rPr>
                <w:rFonts w:asciiTheme="minorHAnsi" w:eastAsiaTheme="minorHAnsi" w:hAnsiTheme="minorHAnsi" w:cstheme="minorHAnsi"/>
                <w:i/>
                <w:color w:val="000000" w:themeColor="text1"/>
                <w:sz w:val="22"/>
                <w:szCs w:val="17"/>
                <w:lang w:eastAsia="en-US"/>
              </w:rPr>
              <w:t>nulidad en vía judicial</w:t>
            </w:r>
            <w:r w:rsidRPr="00202DAB">
              <w:rPr>
                <w:rFonts w:asciiTheme="minorHAnsi" w:eastAsiaTheme="minorHAnsi" w:hAnsiTheme="minorHAnsi" w:cstheme="minorHAnsi"/>
                <w:i/>
                <w:color w:val="313131"/>
                <w:sz w:val="22"/>
                <w:szCs w:val="17"/>
                <w:lang w:eastAsia="en-US"/>
              </w:rPr>
              <w:t xml:space="preserve">, </w:t>
            </w:r>
            <w:r w:rsidRPr="00202DAB">
              <w:rPr>
                <w:rFonts w:asciiTheme="minorHAnsi" w:eastAsiaTheme="minorHAnsi" w:hAnsiTheme="minorHAnsi" w:cstheme="minorHAnsi"/>
                <w:i/>
                <w:color w:val="070707"/>
                <w:sz w:val="22"/>
                <w:szCs w:val="17"/>
                <w:lang w:eastAsia="en-US"/>
              </w:rPr>
              <w:t xml:space="preserve">no podrá presentar otra solicitud de nulidad ni una demanda </w:t>
            </w:r>
            <w:r w:rsidRPr="00202DAB">
              <w:rPr>
                <w:rFonts w:asciiTheme="minorHAnsi" w:eastAsiaTheme="minorHAnsi" w:hAnsiTheme="minorHAnsi" w:cstheme="minorHAnsi"/>
                <w:i/>
                <w:color w:val="000000" w:themeColor="text1"/>
                <w:sz w:val="22"/>
                <w:szCs w:val="17"/>
                <w:lang w:eastAsia="en-US"/>
              </w:rPr>
              <w:t xml:space="preserve">judicial de nulidad </w:t>
            </w:r>
            <w:r w:rsidRPr="00202DAB">
              <w:rPr>
                <w:rFonts w:asciiTheme="minorHAnsi" w:eastAsiaTheme="minorHAnsi" w:hAnsiTheme="minorHAnsi" w:cstheme="minorHAnsi"/>
                <w:i/>
                <w:color w:val="070707"/>
                <w:sz w:val="22"/>
                <w:szCs w:val="17"/>
                <w:lang w:eastAsia="en-US"/>
              </w:rPr>
              <w:t>fundada sobre otro de esos derechos que hubiera podido alegar en apoyo de la primera demanda.</w:t>
            </w:r>
          </w:p>
          <w:p w:rsidR="00202DAB" w:rsidRPr="00202DAB" w:rsidRDefault="00202DAB" w:rsidP="00202DAB">
            <w:pPr>
              <w:shd w:val="clear" w:color="auto" w:fill="00B0F0"/>
              <w:autoSpaceDE w:val="0"/>
              <w:autoSpaceDN w:val="0"/>
              <w:adjustRightInd w:val="0"/>
              <w:jc w:val="both"/>
              <w:rPr>
                <w:rFonts w:ascii="Calibri" w:eastAsia="Calibri" w:hAnsi="Calibri"/>
                <w:i/>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bCs/>
                <w:i/>
                <w:color w:val="000000"/>
                <w:sz w:val="22"/>
                <w:szCs w:val="22"/>
                <w:lang w:eastAsia="en-US"/>
              </w:rPr>
              <w:t xml:space="preserve">Artículo 54. </w:t>
            </w:r>
            <w:r w:rsidRPr="00202DAB">
              <w:rPr>
                <w:rFonts w:ascii="Calibri" w:eastAsia="Calibri" w:hAnsi="Calibri"/>
                <w:b/>
                <w:i/>
                <w:iCs/>
                <w:color w:val="000000"/>
                <w:sz w:val="22"/>
                <w:szCs w:val="22"/>
                <w:lang w:eastAsia="en-US"/>
              </w:rPr>
              <w:t>Caducidad.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1. Se declarará la caducidad de la marca mediante solicitud presentada ante la Oficina Española de Patentes y Marcas o mediante una demanda de reconvención en una acción por violación de marca:</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bCs/>
                <w:i/>
                <w:color w:val="000000"/>
                <w:sz w:val="22"/>
                <w:szCs w:val="22"/>
                <w:lang w:eastAsia="en-US"/>
              </w:rPr>
              <w:t xml:space="preserve">Artículo 54. </w:t>
            </w:r>
            <w:r w:rsidRPr="00202DAB">
              <w:rPr>
                <w:rFonts w:ascii="Calibri" w:eastAsia="Calibri" w:hAnsi="Calibri"/>
                <w:b/>
                <w:i/>
                <w:iCs/>
                <w:color w:val="000000"/>
                <w:sz w:val="22"/>
                <w:szCs w:val="22"/>
                <w:lang w:eastAsia="en-US"/>
              </w:rPr>
              <w:t>Caducidad.</w:t>
            </w:r>
          </w:p>
          <w:p w:rsidR="00202DAB" w:rsidRPr="00202DAB" w:rsidRDefault="00202DAB" w:rsidP="00202DAB">
            <w:pPr>
              <w:shd w:val="clear" w:color="auto" w:fill="00B0F0"/>
              <w:autoSpaceDE w:val="0"/>
              <w:autoSpaceDN w:val="0"/>
              <w:adjustRightInd w:val="0"/>
              <w:jc w:val="both"/>
              <w:rPr>
                <w:rFonts w:asciiTheme="minorHAnsi" w:eastAsiaTheme="minorHAnsi" w:hAnsiTheme="minorHAnsi" w:cstheme="minorHAnsi"/>
                <w:i/>
                <w:strike/>
                <w:color w:val="B6082E"/>
                <w:sz w:val="22"/>
                <w:szCs w:val="17"/>
                <w:lang w:eastAsia="en-US"/>
              </w:rPr>
            </w:pPr>
            <w:r w:rsidRPr="00202DAB">
              <w:rPr>
                <w:rFonts w:asciiTheme="minorHAnsi" w:eastAsiaTheme="minorHAnsi" w:hAnsiTheme="minorHAnsi" w:cstheme="minorHAnsi"/>
                <w:i/>
                <w:color w:val="070707"/>
                <w:sz w:val="22"/>
                <w:szCs w:val="17"/>
                <w:lang w:eastAsia="en-US"/>
              </w:rPr>
              <w:t xml:space="preserve">1. Se declarará la caducidad de la marca mediante solicitud presentada ante la Oficina Española de Patentes y Marcas o mediante una demanda de </w:t>
            </w:r>
            <w:r w:rsidRPr="00202DAB">
              <w:rPr>
                <w:rFonts w:asciiTheme="minorHAnsi" w:eastAsiaTheme="minorHAnsi" w:hAnsiTheme="minorHAnsi" w:cstheme="minorHAnsi"/>
                <w:i/>
                <w:color w:val="000000" w:themeColor="text1"/>
                <w:sz w:val="22"/>
                <w:szCs w:val="17"/>
                <w:lang w:eastAsia="en-US"/>
              </w:rPr>
              <w:t>caducidad presentada ante la jurisdicción civil, a elección del solicitante</w:t>
            </w:r>
            <w:r w:rsidRPr="00202DAB">
              <w:rPr>
                <w:rFonts w:asciiTheme="minorHAnsi" w:eastAsiaTheme="minorHAnsi" w:hAnsiTheme="minorHAnsi" w:cstheme="minorHAnsi"/>
                <w:i/>
                <w:color w:val="B6082E"/>
                <w:sz w:val="22"/>
                <w:szCs w:val="17"/>
                <w:lang w:eastAsia="en-US"/>
              </w:rPr>
              <w:t xml:space="preserve">. </w:t>
            </w:r>
          </w:p>
          <w:p w:rsidR="00202DAB" w:rsidRPr="00202DAB" w:rsidRDefault="00202DAB" w:rsidP="00202DAB">
            <w:pPr>
              <w:shd w:val="clear" w:color="auto" w:fill="00B0F0"/>
              <w:autoSpaceDE w:val="0"/>
              <w:autoSpaceDN w:val="0"/>
              <w:adjustRightInd w:val="0"/>
              <w:jc w:val="both"/>
              <w:rPr>
                <w:rFonts w:ascii="Calibri" w:eastAsia="Calibri" w:hAnsi="Calibri"/>
                <w:i/>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57. </w:t>
            </w:r>
            <w:r w:rsidRPr="00202DAB">
              <w:rPr>
                <w:rFonts w:ascii="Calibri" w:eastAsia="Calibri" w:hAnsi="Calibri"/>
                <w:b/>
                <w:i/>
                <w:iCs/>
                <w:color w:val="000000"/>
                <w:sz w:val="22"/>
                <w:szCs w:val="22"/>
                <w:lang w:eastAsia="en-US"/>
              </w:rPr>
              <w:t>Caducidad por falta de uso de la marca.</w:t>
            </w:r>
          </w:p>
          <w:p w:rsidR="00202DAB" w:rsidRPr="00202DAB" w:rsidRDefault="00202DAB" w:rsidP="00202DAB">
            <w:pPr>
              <w:shd w:val="clear" w:color="auto" w:fill="00B0F0"/>
              <w:autoSpaceDE w:val="0"/>
              <w:autoSpaceDN w:val="0"/>
              <w:adjustRightInd w:val="0"/>
              <w:jc w:val="both"/>
              <w:rPr>
                <w:rFonts w:ascii="Calibri" w:eastAsia="Calibri" w:hAnsi="Calibri"/>
                <w:b/>
                <w:i/>
                <w:color w:val="000000"/>
                <w:sz w:val="22"/>
                <w:szCs w:val="22"/>
                <w:lang w:eastAsia="en-US"/>
              </w:rPr>
            </w:pPr>
            <w:r w:rsidRPr="00202DAB">
              <w:rPr>
                <w:rFonts w:asciiTheme="minorHAnsi" w:eastAsiaTheme="minorHAnsi" w:hAnsiTheme="minorHAnsi" w:cstheme="minorHAnsi"/>
                <w:i/>
                <w:color w:val="050505"/>
                <w:sz w:val="22"/>
                <w:szCs w:val="17"/>
                <w:lang w:eastAsia="en-US"/>
              </w:rPr>
              <w:t xml:space="preserve">En la solicitud o </w:t>
            </w:r>
            <w:r w:rsidRPr="00202DAB">
              <w:rPr>
                <w:rFonts w:asciiTheme="minorHAnsi" w:eastAsiaTheme="minorHAnsi" w:hAnsiTheme="minorHAnsi" w:cstheme="minorHAnsi"/>
                <w:i/>
                <w:sz w:val="22"/>
                <w:szCs w:val="17"/>
                <w:lang w:eastAsia="en-US"/>
              </w:rPr>
              <w:t xml:space="preserve">demanda reconvencional de caducidad por falta de uso de la marca corresponderá al titular de </w:t>
            </w:r>
            <w:proofErr w:type="gramStart"/>
            <w:r w:rsidRPr="00202DAB">
              <w:rPr>
                <w:rFonts w:asciiTheme="minorHAnsi" w:eastAsiaTheme="minorHAnsi" w:hAnsiTheme="minorHAnsi" w:cstheme="minorHAnsi"/>
                <w:i/>
                <w:sz w:val="22"/>
                <w:szCs w:val="17"/>
                <w:lang w:eastAsia="en-US"/>
              </w:rPr>
              <w:t>la misma</w:t>
            </w:r>
            <w:proofErr w:type="gramEnd"/>
            <w:r w:rsidRPr="00202DAB">
              <w:rPr>
                <w:rFonts w:asciiTheme="minorHAnsi" w:eastAsiaTheme="minorHAnsi" w:hAnsiTheme="minorHAnsi" w:cstheme="minorHAnsi"/>
                <w:i/>
                <w:sz w:val="22"/>
                <w:szCs w:val="17"/>
                <w:lang w:eastAsia="en-US"/>
              </w:rPr>
              <w:t xml:space="preserve"> demostrar que ha sido usada con arreglo al artículo 39 o que existen causas justificativas de la falta de uso. No podrá declararse la caducidad de la marca si, en el intervalo entre la expiración del período de cinco años a que se refiere el artículo 39 y la presentación de la solicitud o demanda reconvencional</w:t>
            </w:r>
            <w:r w:rsidRPr="00202DAB">
              <w:rPr>
                <w:rFonts w:asciiTheme="minorHAnsi" w:eastAsiaTheme="minorHAnsi" w:hAnsiTheme="minorHAnsi" w:cstheme="minorHAnsi"/>
                <w:i/>
                <w:color w:val="B6082E"/>
                <w:sz w:val="22"/>
                <w:szCs w:val="17"/>
                <w:lang w:eastAsia="en-US"/>
              </w:rPr>
              <w:t xml:space="preserve"> </w:t>
            </w:r>
            <w:r w:rsidRPr="00202DAB">
              <w:rPr>
                <w:rFonts w:asciiTheme="minorHAnsi" w:eastAsiaTheme="minorHAnsi" w:hAnsiTheme="minorHAnsi" w:cstheme="minorHAnsi"/>
                <w:i/>
                <w:color w:val="050505"/>
                <w:sz w:val="22"/>
                <w:szCs w:val="17"/>
                <w:lang w:eastAsia="en-US"/>
              </w:rPr>
              <w:t>de caducidad, se hubiera iniciado o reanudado un uso efectivo de la marca; no obstante, el comienzo o la reanudación del uso en un plazo de tres meses anterior a la presentación  de la solicitud o demanda reconvencional de caducidad, plazo que empezará a correr en fecha no anterior a la de expiración del período ininterrumpido de cinco años de no utilización, no se tomará en cuenta si los preparativos para el inicio o la reanudación del uso se hubieran producido después de haber conocido el titular que la solicitud o demanda reconvencional de caducidad podría ser presentada.</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57. </w:t>
            </w:r>
            <w:r w:rsidRPr="00202DAB">
              <w:rPr>
                <w:rFonts w:ascii="Calibri" w:eastAsia="Calibri" w:hAnsi="Calibri"/>
                <w:b/>
                <w:i/>
                <w:iCs/>
                <w:color w:val="000000"/>
                <w:sz w:val="22"/>
                <w:szCs w:val="22"/>
                <w:lang w:eastAsia="en-US"/>
              </w:rPr>
              <w:t>Caducidad por falta de uso de la marca.</w:t>
            </w:r>
          </w:p>
          <w:p w:rsidR="00202DAB" w:rsidRPr="00202DAB" w:rsidRDefault="00202DAB" w:rsidP="00202DAB">
            <w:pPr>
              <w:shd w:val="clear" w:color="auto" w:fill="00B0F0"/>
              <w:jc w:val="both"/>
              <w:rPr>
                <w:rFonts w:asciiTheme="minorHAnsi" w:eastAsiaTheme="minorHAnsi" w:hAnsiTheme="minorHAnsi" w:cstheme="minorHAnsi"/>
                <w:i/>
                <w:color w:val="050505"/>
                <w:sz w:val="22"/>
                <w:szCs w:val="17"/>
                <w:lang w:eastAsia="en-US"/>
              </w:rPr>
            </w:pPr>
            <w:r w:rsidRPr="00202DAB">
              <w:rPr>
                <w:rFonts w:asciiTheme="minorHAnsi" w:eastAsiaTheme="minorHAnsi" w:hAnsiTheme="minorHAnsi" w:cstheme="minorHAnsi"/>
                <w:i/>
                <w:color w:val="050505"/>
                <w:sz w:val="22"/>
                <w:szCs w:val="17"/>
                <w:lang w:eastAsia="en-US"/>
              </w:rPr>
              <w:t xml:space="preserve">En la solicitud o demanda </w:t>
            </w:r>
            <w:r w:rsidRPr="00202DAB">
              <w:rPr>
                <w:rFonts w:asciiTheme="minorHAnsi" w:eastAsiaTheme="minorHAnsi" w:hAnsiTheme="minorHAnsi" w:cstheme="minorHAnsi"/>
                <w:i/>
                <w:color w:val="000000" w:themeColor="text1"/>
                <w:sz w:val="22"/>
                <w:szCs w:val="17"/>
                <w:lang w:eastAsia="en-US"/>
              </w:rPr>
              <w:t>judicial</w:t>
            </w:r>
            <w:r w:rsidRPr="00202DAB">
              <w:rPr>
                <w:rFonts w:asciiTheme="minorHAnsi" w:eastAsiaTheme="minorHAnsi" w:hAnsiTheme="minorHAnsi" w:cstheme="minorHAnsi"/>
                <w:i/>
                <w:color w:val="B6082E"/>
                <w:sz w:val="22"/>
                <w:szCs w:val="17"/>
                <w:lang w:eastAsia="en-US"/>
              </w:rPr>
              <w:t xml:space="preserve"> </w:t>
            </w:r>
            <w:r w:rsidRPr="00202DAB">
              <w:rPr>
                <w:rFonts w:asciiTheme="minorHAnsi" w:eastAsiaTheme="minorHAnsi" w:hAnsiTheme="minorHAnsi" w:cstheme="minorHAnsi"/>
                <w:i/>
                <w:color w:val="050505"/>
                <w:sz w:val="22"/>
                <w:szCs w:val="17"/>
                <w:lang w:eastAsia="en-US"/>
              </w:rPr>
              <w:t xml:space="preserve">de caducidad por falta de uso de la marca corresponderá al titular de </w:t>
            </w:r>
            <w:proofErr w:type="gramStart"/>
            <w:r w:rsidRPr="00202DAB">
              <w:rPr>
                <w:rFonts w:asciiTheme="minorHAnsi" w:eastAsiaTheme="minorHAnsi" w:hAnsiTheme="minorHAnsi" w:cstheme="minorHAnsi"/>
                <w:i/>
                <w:color w:val="050505"/>
                <w:sz w:val="22"/>
                <w:szCs w:val="17"/>
                <w:lang w:eastAsia="en-US"/>
              </w:rPr>
              <w:t>la misma</w:t>
            </w:r>
            <w:proofErr w:type="gramEnd"/>
            <w:r w:rsidRPr="00202DAB">
              <w:rPr>
                <w:rFonts w:asciiTheme="minorHAnsi" w:eastAsiaTheme="minorHAnsi" w:hAnsiTheme="minorHAnsi" w:cstheme="minorHAnsi"/>
                <w:i/>
                <w:color w:val="050505"/>
                <w:sz w:val="22"/>
                <w:szCs w:val="17"/>
                <w:lang w:eastAsia="en-US"/>
              </w:rPr>
              <w:t xml:space="preserve"> demostrar que ha sido usada con arreglo al artículo 39 o que existen causas justificativas de la falta de uso. No podrá declararse la caducidad de la marca si, en el intervalo entre la expiración del período de cinco años a que se refiere el artículo 39 y la presentación de la solicitud o demanda de caducidad, se hubiera iniciado o reanudado un uso efectivo de la marca; no obstante, el comienzo o la reanudación del uso en un plazo de tres meses anterior a la presentación  de la solicitud o demanda reconvencional de caducidad, plazo que empezará a correr en fecha no anterior a la de expiración del período ininterrumpido de cinco años de no utilización, no se tomará en cuenta si los preparativos para el inicio o la reanudación del uso se hubieran producido después de haber conocido el titular que la solicitud o demanda reconvencional de caducidad podría ser presentada.</w:t>
            </w:r>
          </w:p>
          <w:p w:rsidR="00202DAB" w:rsidRPr="00202DAB" w:rsidRDefault="00202DAB" w:rsidP="00202DAB">
            <w:pPr>
              <w:shd w:val="clear" w:color="auto" w:fill="00B0F0"/>
              <w:jc w:val="both"/>
              <w:rPr>
                <w:rFonts w:ascii="Calibri" w:eastAsia="Calibri" w:hAnsi="Calibri"/>
                <w:b/>
                <w:i/>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58. </w:t>
            </w:r>
            <w:r w:rsidRPr="00202DAB">
              <w:rPr>
                <w:rFonts w:ascii="Calibri" w:eastAsia="Calibri" w:hAnsi="Calibri"/>
                <w:b/>
                <w:i/>
                <w:iCs/>
                <w:color w:val="000000"/>
                <w:sz w:val="22"/>
                <w:szCs w:val="22"/>
                <w:lang w:eastAsia="en-US"/>
              </w:rPr>
              <w:t>Solicitud de nulidad o caducidad.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1. Podrán presentar ante la Oficina Española de Patentes y Marcas una solicitud de nulidad o caducidad del registro de la marca:</w:t>
            </w:r>
          </w:p>
          <w:p w:rsidR="00202DAB" w:rsidRPr="00202DAB" w:rsidRDefault="00202DAB" w:rsidP="00202DAB">
            <w:pPr>
              <w:shd w:val="clear" w:color="auto" w:fill="00B0F0"/>
              <w:jc w:val="both"/>
              <w:rPr>
                <w:rFonts w:ascii="Calibri" w:eastAsia="Calibri" w:hAnsi="Calibri"/>
                <w:i/>
                <w:color w:val="000000"/>
                <w:sz w:val="22"/>
                <w:szCs w:val="22"/>
                <w:lang w:eastAsia="en-US"/>
              </w:rPr>
            </w:pP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58. </w:t>
            </w:r>
            <w:r w:rsidRPr="00202DAB">
              <w:rPr>
                <w:rFonts w:ascii="Calibri" w:eastAsia="Calibri" w:hAnsi="Calibri"/>
                <w:b/>
                <w:i/>
                <w:iCs/>
                <w:color w:val="000000"/>
                <w:sz w:val="22"/>
                <w:szCs w:val="22"/>
                <w:lang w:eastAsia="en-US"/>
              </w:rPr>
              <w:t xml:space="preserve">Solicitud de nulidad o caducidad </w:t>
            </w:r>
            <w:r w:rsidRPr="00202DAB">
              <w:rPr>
                <w:rFonts w:ascii="Calibri" w:eastAsia="Calibri" w:hAnsi="Calibri"/>
                <w:b/>
                <w:i/>
                <w:iCs/>
                <w:color w:val="000000" w:themeColor="text1"/>
                <w:sz w:val="22"/>
                <w:szCs w:val="22"/>
                <w:lang w:eastAsia="en-US"/>
              </w:rPr>
              <w:t>en vía administrativa</w:t>
            </w:r>
            <w:r w:rsidRPr="00202DAB">
              <w:rPr>
                <w:rFonts w:ascii="Calibri" w:eastAsia="Calibri" w:hAnsi="Calibri"/>
                <w:b/>
                <w:i/>
                <w:iCs/>
                <w:color w:val="000000"/>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1. Podrán presentar ante la Oficina Española de Patentes y Marcas una solicitud de nulidad o caducidad del registro de la marca:</w:t>
            </w:r>
          </w:p>
          <w:p w:rsidR="00202DAB" w:rsidRPr="00202DAB" w:rsidRDefault="00202DAB" w:rsidP="00202DAB">
            <w:pPr>
              <w:shd w:val="clear" w:color="auto" w:fill="00B0F0"/>
              <w:jc w:val="both"/>
              <w:rPr>
                <w:rFonts w:ascii="Calibri" w:eastAsia="Calibri" w:hAnsi="Calibri"/>
                <w:i/>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59. </w:t>
            </w:r>
            <w:r w:rsidRPr="00202DAB">
              <w:rPr>
                <w:rFonts w:ascii="Calibri" w:eastAsia="Calibri" w:hAnsi="Calibri"/>
                <w:b/>
                <w:i/>
                <w:iCs/>
                <w:color w:val="000000"/>
                <w:sz w:val="22"/>
                <w:szCs w:val="22"/>
                <w:lang w:eastAsia="en-US"/>
              </w:rPr>
              <w:t>Examen de la solicitud de nulidad y caducidad.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1. Recibida la solicitud de nulidad o caducidad, la Oficina Española de Patentes y Marcas dará traslado de </w:t>
            </w:r>
            <w:proofErr w:type="gramStart"/>
            <w:r w:rsidRPr="00202DAB">
              <w:rPr>
                <w:rFonts w:ascii="Calibri" w:eastAsia="Calibri" w:hAnsi="Calibri"/>
                <w:i/>
                <w:color w:val="000000"/>
                <w:sz w:val="22"/>
                <w:szCs w:val="22"/>
                <w:lang w:eastAsia="en-US"/>
              </w:rPr>
              <w:t>la misma</w:t>
            </w:r>
            <w:proofErr w:type="gramEnd"/>
            <w:r w:rsidRPr="00202DAB">
              <w:rPr>
                <w:rFonts w:ascii="Calibri" w:eastAsia="Calibri" w:hAnsi="Calibri"/>
                <w:i/>
                <w:color w:val="000000"/>
                <w:sz w:val="22"/>
                <w:szCs w:val="22"/>
                <w:lang w:eastAsia="en-US"/>
              </w:rPr>
              <w:t xml:space="preserve"> al titular de la marca impugnada para que, en el plazo que reglamentariamente se determine, presente sus alegaciones y pruebas. En el curso del examen de la solicitud de nulidad o caducidad, la Oficina podrá requerir a las partes, cuantas veces considere necesario, para que, en el plazo que reglamentariamente se establezca, contesten a las alegaciones o pruebas presentadas por la otra parte.</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4. En el supuesto contemplado en el apartado 2, y si se cumplen los requisitos previstos en el mismo, la Oficina Española de Patentes y Marcas dará traslado de la petición al titular de la marca anterior para que, en el plazo que reglamentariamente se determine, presente la correspondiente prueba de uso conforme a lo previsto en los apartados 2 y 3. La Oficina así mismo dará traslado al titular de la marca impugnada de la prueba presentada para que, en el plazo que reglamentariamente se establezca, presente sus alegaciones.</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59. </w:t>
            </w:r>
            <w:r w:rsidRPr="00202DAB">
              <w:rPr>
                <w:rFonts w:ascii="Calibri" w:eastAsia="Calibri" w:hAnsi="Calibri"/>
                <w:b/>
                <w:i/>
                <w:iCs/>
                <w:color w:val="000000"/>
                <w:sz w:val="22"/>
                <w:szCs w:val="22"/>
                <w:lang w:eastAsia="en-US"/>
              </w:rPr>
              <w:t>Examen de la solicitud de nulidad y caducidad en vía administrativa.</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1.Recibida la solicitud de nulidad o caducidad, la Oficina Española de Patentes y Marcas dará traslado de </w:t>
            </w:r>
            <w:proofErr w:type="gramStart"/>
            <w:r w:rsidRPr="00202DAB">
              <w:rPr>
                <w:rFonts w:ascii="Calibri" w:eastAsia="Calibri" w:hAnsi="Calibri"/>
                <w:i/>
                <w:color w:val="000000"/>
                <w:sz w:val="22"/>
                <w:szCs w:val="22"/>
                <w:lang w:eastAsia="en-US"/>
              </w:rPr>
              <w:t>la misma</w:t>
            </w:r>
            <w:proofErr w:type="gramEnd"/>
            <w:r w:rsidRPr="00202DAB">
              <w:rPr>
                <w:rFonts w:ascii="Calibri" w:eastAsia="Calibri" w:hAnsi="Calibri"/>
                <w:i/>
                <w:color w:val="000000"/>
                <w:sz w:val="22"/>
                <w:szCs w:val="22"/>
                <w:lang w:eastAsia="en-US"/>
              </w:rPr>
              <w:t xml:space="preserve"> al titular de la marca impugnada para que, en el plazo que reglamentariamente se determine, presente sus alegaciones y pruebas. En el curso del examen de la solicitud de nulidad o caducidad, la Oficina podrá requerir a las partes, cuantas veces considere necesario, para que, en el plazo que reglamentariamente se establezca, contesten a las alegaciones o pruebas presentadas por la otra parte.</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4. En el supuesto contemplado en el apartado 2, y si se cumplen los requisitos previstos en el mismo, la Oficina Española de Patentes y Marcas dará traslado de la petición al titular de la marca anterior para que, en el plazo que reglamentariamente se determine, presente la correspondiente prueba de uso conforme a lo previsto en los apartados 2 y 3. La Oficina así mismo dará traslado al titular de la marca impugnada de la prueba presentada para que, en el plazo que reglamentariamente se establezca, presente sus alegaciones.</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themeColor="text1"/>
                <w:sz w:val="22"/>
                <w:szCs w:val="22"/>
                <w:lang w:eastAsia="en-US"/>
              </w:rPr>
            </w:pPr>
            <w:r w:rsidRPr="00202DAB">
              <w:rPr>
                <w:rFonts w:ascii="Calibri" w:eastAsia="Calibri" w:hAnsi="Calibri"/>
                <w:i/>
                <w:color w:val="000000" w:themeColor="text1"/>
                <w:sz w:val="22"/>
                <w:szCs w:val="22"/>
                <w:lang w:eastAsia="en-US"/>
              </w:rPr>
              <w:t>8. Cuando el órgano competente sea la Oficina Española de Patentes y Marcas el plazo se determinará mediante Reglamento.</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9. Las resoluciones de la Oficina Española de Patentes y Marcas en los procedimientos de nulidad o caducidad serán revisables por el tribunal civil que hubiera resultado competente para revisar la sentencia del órgano de la jurisdicción civil que hubiera sido objetiva y territorialmente competente para resolver la nulidad o caducidad de la marca en vía judicial de acuerdo con lo previsto en el artículo 118 de la Ley 24/2015, de 24 de julio, de Patentes. </w:t>
            </w:r>
          </w:p>
          <w:p w:rsidR="00202DAB" w:rsidRPr="00202DAB" w:rsidRDefault="00202DAB" w:rsidP="00202DAB">
            <w:pPr>
              <w:shd w:val="clear" w:color="auto" w:fill="00B0F0"/>
              <w:jc w:val="both"/>
              <w:rPr>
                <w:rFonts w:ascii="Calibri" w:eastAsia="Calibri" w:hAnsi="Calibri"/>
                <w:i/>
                <w:color w:val="000000"/>
                <w:sz w:val="22"/>
                <w:szCs w:val="22"/>
                <w:lang w:eastAsia="en-US"/>
              </w:rPr>
            </w:pPr>
          </w:p>
        </w:tc>
      </w:tr>
      <w:tr w:rsidR="00202DAB" w:rsidRPr="00202DAB" w:rsidTr="00F41E1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60. </w:t>
            </w:r>
            <w:r w:rsidRPr="00202DAB">
              <w:rPr>
                <w:rFonts w:ascii="Calibri" w:eastAsia="Calibri" w:hAnsi="Calibri"/>
                <w:b/>
                <w:i/>
                <w:iCs/>
                <w:color w:val="000000"/>
                <w:sz w:val="22"/>
                <w:szCs w:val="22"/>
                <w:lang w:eastAsia="en-US"/>
              </w:rPr>
              <w:t>Efectos de la caducidad y de la nulidad.</w:t>
            </w:r>
          </w:p>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i/>
                <w:color w:val="000000"/>
                <w:sz w:val="22"/>
                <w:szCs w:val="22"/>
                <w:lang w:eastAsia="en-US"/>
              </w:rPr>
              <w:t>1. La marca registrada se considerará que no ha tenido, a partir de la fecha de la solicitud de caducidad o de la demanda de reconvención, los efectos señalados en la presente Ley en la medida en que se haya declarado la caducidad de los derechos del titular. A instancia de parte podrá fijarse en la resolución sobre la solicitud o demanda de caducidad una fecha anterior en que se hubiera producido alguna de las causas de caducidad.</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60. </w:t>
            </w:r>
            <w:r w:rsidRPr="00202DAB">
              <w:rPr>
                <w:rFonts w:ascii="Calibri" w:eastAsia="Calibri" w:hAnsi="Calibri"/>
                <w:b/>
                <w:i/>
                <w:iCs/>
                <w:color w:val="000000"/>
                <w:sz w:val="22"/>
                <w:szCs w:val="22"/>
                <w:lang w:eastAsia="en-US"/>
              </w:rPr>
              <w:t>Efectos de la caducidad y de la nulidad.</w:t>
            </w:r>
          </w:p>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i/>
                <w:color w:val="000000"/>
                <w:sz w:val="22"/>
                <w:szCs w:val="22"/>
                <w:lang w:eastAsia="en-US"/>
              </w:rPr>
              <w:t xml:space="preserve">1. La marca registrada se considerará que no ha tenido, a partir de la fecha de la solicitud de caducidad o de la </w:t>
            </w:r>
            <w:r w:rsidRPr="00202DAB">
              <w:rPr>
                <w:rFonts w:ascii="Calibri" w:eastAsia="Calibri" w:hAnsi="Calibri"/>
                <w:i/>
                <w:color w:val="000000" w:themeColor="text1"/>
                <w:sz w:val="22"/>
                <w:szCs w:val="22"/>
                <w:lang w:eastAsia="en-US"/>
              </w:rPr>
              <w:t>demanda judicial</w:t>
            </w:r>
            <w:r w:rsidRPr="00202DAB">
              <w:rPr>
                <w:rFonts w:ascii="Calibri" w:eastAsia="Calibri" w:hAnsi="Calibri"/>
                <w:i/>
                <w:color w:val="000000"/>
                <w:sz w:val="22"/>
                <w:szCs w:val="22"/>
                <w:lang w:eastAsia="en-US"/>
              </w:rPr>
              <w:t>, los efectos señalados en la presente Ley en la medida en que se haya declarado la caducidad de los derechos del titular. A instancia de parte podrá fijarse en la resolución sobre la solicitud o demanda de caducidad una fecha anterior en que se hubiera producido alguna de las causas de caducidad.</w:t>
            </w:r>
          </w:p>
        </w:tc>
      </w:tr>
      <w:tr w:rsidR="00202DAB" w:rsidRPr="00202DAB" w:rsidTr="00C96B42">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61. </w:t>
            </w:r>
            <w:r w:rsidRPr="00202DAB">
              <w:rPr>
                <w:rFonts w:ascii="Calibri" w:eastAsia="Calibri" w:hAnsi="Calibri"/>
                <w:b/>
                <w:i/>
                <w:iCs/>
                <w:color w:val="000000"/>
                <w:sz w:val="22"/>
                <w:szCs w:val="22"/>
                <w:lang w:eastAsia="en-US"/>
              </w:rPr>
              <w:t>Firmeza de las resoluciones judiciales y administrativas.</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1. Los tribunales inadmitirán toda demanda de reconvención por nulidad o caducidad si la</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Oficina Española de Patentes y marcas ya se hubiere pronunciado con anterioridad, mediante resolución ya firme, sobre una solicitud con el mismo objeto y con la misma causa, entre las mismas partes.</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2. La Oficina Española de Patentes y Marcas no admitirá una solicitud de nulidad o caducidad cuando un tribunal o la propia Oficina hubieran resuelto entre las mismas partes una demanda reconvencional o una solicitud con el mismo objeto y la misma causa y esa resolución hubiera adquirido fuerza de cosa juzgada.</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3. No podrá solicitar ante la Oficina Española de Patentes y Marcas o demandar ante la jurisdicción civil la nulidad de una marca, invocando la misma causa de nulidad que hubiera sido ya objeto de pronunciamiento, en cuanto al fondo de la cuestión, en sentencia dictada en recurso contencioso-administrativo, quien hubiera sido parte en el mismo.</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61. </w:t>
            </w:r>
            <w:r w:rsidRPr="00202DAB">
              <w:rPr>
                <w:rFonts w:ascii="Calibri" w:eastAsia="Calibri" w:hAnsi="Calibri"/>
                <w:b/>
                <w:i/>
                <w:iCs/>
                <w:color w:val="000000"/>
                <w:sz w:val="22"/>
                <w:szCs w:val="22"/>
                <w:lang w:eastAsia="en-US"/>
              </w:rPr>
              <w:t>Firmeza de las resoluciones judiciales y administrativas.</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1. Los tribunales inadmitirán toda demanda por nulidad o caducidad si </w:t>
            </w:r>
            <w:proofErr w:type="gramStart"/>
            <w:r w:rsidRPr="00202DAB">
              <w:rPr>
                <w:rFonts w:ascii="Calibri" w:eastAsia="Calibri" w:hAnsi="Calibri"/>
                <w:i/>
                <w:color w:val="000000"/>
                <w:sz w:val="22"/>
                <w:szCs w:val="22"/>
                <w:lang w:eastAsia="en-US"/>
              </w:rPr>
              <w:t>la  Oficina</w:t>
            </w:r>
            <w:proofErr w:type="gramEnd"/>
            <w:r w:rsidRPr="00202DAB">
              <w:rPr>
                <w:rFonts w:ascii="Calibri" w:eastAsia="Calibri" w:hAnsi="Calibri"/>
                <w:i/>
                <w:color w:val="000000"/>
                <w:sz w:val="22"/>
                <w:szCs w:val="22"/>
                <w:lang w:eastAsia="en-US"/>
              </w:rPr>
              <w:t xml:space="preserve"> Española de Patentes y </w:t>
            </w:r>
            <w:r w:rsidRPr="00202DAB">
              <w:rPr>
                <w:rFonts w:ascii="Calibri" w:eastAsia="Calibri" w:hAnsi="Calibri"/>
                <w:i/>
                <w:color w:val="000000" w:themeColor="text1"/>
                <w:sz w:val="22"/>
                <w:szCs w:val="22"/>
                <w:lang w:eastAsia="en-US"/>
              </w:rPr>
              <w:t>M</w:t>
            </w:r>
            <w:r w:rsidRPr="00202DAB">
              <w:rPr>
                <w:rFonts w:ascii="Calibri" w:eastAsia="Calibri" w:hAnsi="Calibri"/>
                <w:i/>
                <w:color w:val="000000"/>
                <w:sz w:val="22"/>
                <w:szCs w:val="22"/>
                <w:lang w:eastAsia="en-US"/>
              </w:rPr>
              <w:t>arcas ya se hubiere pronunciado con anterioridad, mediante resolución ya firme, sobre una solicitud con el mismo objeto y con la misma causa</w:t>
            </w:r>
            <w:r w:rsidRPr="00202DAB">
              <w:t xml:space="preserve"> </w:t>
            </w:r>
            <w:r w:rsidRPr="00202DAB">
              <w:rPr>
                <w:rFonts w:ascii="Calibri" w:eastAsia="Calibri" w:hAnsi="Calibri"/>
                <w:i/>
                <w:color w:val="000000"/>
                <w:sz w:val="22"/>
                <w:szCs w:val="22"/>
                <w:lang w:eastAsia="en-US"/>
              </w:rPr>
              <w:t>, entre las mismas partes</w:t>
            </w:r>
            <w:r w:rsidRPr="00202DAB">
              <w:rPr>
                <w:rFonts w:ascii="Calibri" w:eastAsia="Calibri" w:hAnsi="Calibri"/>
                <w:i/>
                <w:color w:val="000000" w:themeColor="text1"/>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2. La Oficina Española de Patentes y Mareas no admitirá una solicitud de nulidad o caducidad cuando un tribunal o la propia Oficina hubieran resuelto entre las mismas partes una demanda o una solicitud con el mismo objeto y la misma causa y esa resolución hubiera adquirido fuerza de cosa juzgada.</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3. No podrá solicitar ante la Oficina Española de Patentes y Marcas o demandar ante la jurisdicción civil la nulidad de una marca, invocando la misma causa de nulidad que hubiera sido ya objeto de pronunciamiento, en cuanto al fondo de la cuestión, en sentencia dictada en recurso contencioso-administrativo, quien hubiera sido parte en el mismo.</w:t>
            </w:r>
          </w:p>
          <w:p w:rsidR="00202DAB" w:rsidRPr="00202DAB" w:rsidRDefault="00202DAB" w:rsidP="00202DAB">
            <w:pPr>
              <w:shd w:val="clear" w:color="auto" w:fill="00B0F0"/>
              <w:jc w:val="both"/>
              <w:rPr>
                <w:rFonts w:ascii="Calibri" w:eastAsia="Calibri" w:hAnsi="Calibri"/>
                <w:i/>
                <w:color w:val="000000"/>
                <w:sz w:val="22"/>
                <w:szCs w:val="22"/>
                <w:lang w:eastAsia="en-US"/>
              </w:rPr>
            </w:pPr>
          </w:p>
        </w:tc>
      </w:tr>
      <w:tr w:rsidR="00202DAB" w:rsidRPr="00202DAB" w:rsidTr="00C96B42">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61 bis. </w:t>
            </w:r>
            <w:r w:rsidRPr="00202DAB">
              <w:rPr>
                <w:rFonts w:ascii="Calibri" w:eastAsia="Calibri" w:hAnsi="Calibri"/>
                <w:b/>
                <w:i/>
                <w:iCs/>
                <w:color w:val="000000"/>
                <w:sz w:val="22"/>
                <w:szCs w:val="22"/>
                <w:lang w:eastAsia="en-US"/>
              </w:rPr>
              <w:t>Suspensión de los procedimientos de caducidad y nulidad.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1. A no ser que existan razones especiales para proseguir el procedimiento, el tribunal ante el que se hubiere formulado una demanda reconvencional por nulidad o caducidad de marca, suspenderá su fallo de oficio, previa audiencia de las partes, o a instancia de parte y previa audiencia de las demás, si la validez de la marca ya se hallara impugnada ante </w:t>
            </w:r>
            <w:proofErr w:type="gramStart"/>
            <w:r w:rsidRPr="00202DAB">
              <w:rPr>
                <w:rFonts w:ascii="Calibri" w:eastAsia="Calibri" w:hAnsi="Calibri"/>
                <w:i/>
                <w:color w:val="000000"/>
                <w:sz w:val="22"/>
                <w:szCs w:val="22"/>
                <w:lang w:eastAsia="en-US"/>
              </w:rPr>
              <w:t>otro tribuna</w:t>
            </w:r>
            <w:proofErr w:type="gramEnd"/>
            <w:r w:rsidRPr="00202DAB">
              <w:rPr>
                <w:rFonts w:ascii="Calibri" w:eastAsia="Calibri" w:hAnsi="Calibri"/>
                <w:i/>
                <w:color w:val="000000"/>
                <w:sz w:val="22"/>
                <w:szCs w:val="22"/>
                <w:lang w:eastAsia="en-US"/>
              </w:rPr>
              <w:t xml:space="preserve"> o ante la Oficina Española de Patentes y Marcas.</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2. A no ser que existan razones especiales para proseguir el procedimiento, la Oficina Española de Patentes y Marcas suspenderá de oficio la resolución de una solicitud de nulidad o caducidad de marca, previa audiencia de las partes, o a instancia de parte y previa audiencia de las demás, si la validez de la marca se hallara ya impugnada mediante demanda de reconvención ante un tribunal.</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3. Interpuesta una demanda por violación de marca ante un tribunal, el demandado no podrá formular como defensa una solicitud de nulidad o caducidad de dicha marca ante la Oficina Española de Patentes y Marcas, sino que habrá de interponer la correspondiente demanda de reconvención ante dicho tribunal.</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61 bis. </w:t>
            </w:r>
            <w:r w:rsidRPr="00202DAB">
              <w:rPr>
                <w:rFonts w:ascii="Calibri" w:eastAsia="Calibri" w:hAnsi="Calibri"/>
                <w:b/>
                <w:i/>
                <w:iCs/>
                <w:color w:val="000000"/>
                <w:sz w:val="22"/>
                <w:szCs w:val="22"/>
                <w:lang w:eastAsia="en-US"/>
              </w:rPr>
              <w:t>Suspensión de los procedimientos de caducidad y nulidad.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1. A no ser que existan razones especiales para proseguir el procedimiento, el tribunal ante el que se hubiere formulado una demanda por nulidad o caducidad de marca, suspenderá su fallo de oficio, previa audiencia de las partes, o a instancia de parte y previa audiencia de las demás, si la validez de la marca ya se hallara impugnada ante </w:t>
            </w:r>
            <w:proofErr w:type="gramStart"/>
            <w:r w:rsidRPr="00202DAB">
              <w:rPr>
                <w:rFonts w:ascii="Calibri" w:eastAsia="Calibri" w:hAnsi="Calibri"/>
                <w:i/>
                <w:color w:val="000000"/>
                <w:sz w:val="22"/>
                <w:szCs w:val="22"/>
                <w:lang w:eastAsia="en-US"/>
              </w:rPr>
              <w:t>otro tribuna</w:t>
            </w:r>
            <w:proofErr w:type="gramEnd"/>
            <w:r w:rsidRPr="00202DAB">
              <w:rPr>
                <w:rFonts w:ascii="Calibri" w:eastAsia="Calibri" w:hAnsi="Calibri"/>
                <w:i/>
                <w:color w:val="000000"/>
                <w:sz w:val="22"/>
                <w:szCs w:val="22"/>
                <w:lang w:eastAsia="en-US"/>
              </w:rPr>
              <w:t xml:space="preserve"> o ante la Oficina Española de Patentes y Marcas.</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2. A no ser que existan razones especiales para proseguir el procedimiento, la Oficina Española de Patentes y Marcas suspenderá de oficio la resolución de una solicitud de nulidad o caducidad de marca, previa audiencia de las partes, o a instancia de parte y previa audiencia de las demás, si la validez de la marca se hallara ya impugnada mediante demanda ante un tribunal.</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3. </w:t>
            </w:r>
            <w:r w:rsidRPr="00202DAB">
              <w:rPr>
                <w:rFonts w:ascii="Calibri" w:eastAsia="Calibri" w:hAnsi="Calibri"/>
                <w:i/>
                <w:color w:val="000000" w:themeColor="text1"/>
                <w:sz w:val="22"/>
                <w:szCs w:val="22"/>
                <w:lang w:eastAsia="en-US"/>
              </w:rPr>
              <w:t>Interpuesta una demanda por violación de marca ante un tribunal o solicitada la práctica de diligencias o medidas previas a aquélla, el demandado no podrá formular como defensa una solicitud de nulidad o caducidad de dicha marca ante la Oficina Española de Patentes y Marcas, sino que habrá de interponer en su momento la correspondiente demanda de reconvención ante dicho tribunal</w:t>
            </w: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b/>
                <w:i/>
                <w:color w:val="000000"/>
                <w:sz w:val="22"/>
                <w:szCs w:val="22"/>
                <w:lang w:eastAsia="en-US"/>
              </w:rPr>
            </w:pPr>
          </w:p>
        </w:tc>
      </w:tr>
      <w:tr w:rsidR="00202DAB" w:rsidRPr="00202DAB" w:rsidTr="00C96B42">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61 ter. </w:t>
            </w:r>
            <w:r w:rsidRPr="00202DAB">
              <w:rPr>
                <w:rFonts w:ascii="Calibri" w:eastAsia="Calibri" w:hAnsi="Calibri"/>
                <w:b/>
                <w:i/>
                <w:iCs/>
                <w:color w:val="000000"/>
                <w:sz w:val="22"/>
                <w:szCs w:val="22"/>
                <w:lang w:eastAsia="en-US"/>
              </w:rPr>
              <w:t>Anotaciones registrales y comunicación de sentencias.</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1. La Oficina Española de Patentes y Marcas anotará en el Registro de Marcas la interposición de toda solicitud o demanda de nulidad o caducidad de marca. A estos efectos, el tribunal ante el que se haya presentado una demanda de reconvención por nulidad o caducidad de una marca comunicará de oficio a dicha Oficina este hecho para su correspondiente anotación preventiva.</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3. El tribunal que hubiere dictado una sentencia sobre una demanda de reconvención por nulidad o caducidad, que hubiere adquirido firmeza, comunicará de oficio dicha sentencia a la Oficina Española de Patentes y Marcas para que proceda conforme a lo previsto en el apartado anterior.</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61 ter. </w:t>
            </w:r>
            <w:r w:rsidRPr="00202DAB">
              <w:rPr>
                <w:rFonts w:ascii="Calibri" w:eastAsia="Calibri" w:hAnsi="Calibri"/>
                <w:b/>
                <w:i/>
                <w:iCs/>
                <w:color w:val="000000"/>
                <w:sz w:val="22"/>
                <w:szCs w:val="22"/>
                <w:lang w:eastAsia="en-US"/>
              </w:rPr>
              <w:t>Anotaciones registrales y comunicación de sentencias.</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1. La Oficina Española de Patentes y Marcas anotará en el Registro de Marcas la interposición de toda solicitud o demanda de nulidad o caducidad de marca. A estos efectos, el tribunal ante el que se haya presentado una demanda por nulidad o caducidad de una marca comunicará de oficio a dicha Oficina este hecho para su correspondiente anotación preventiva.</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3. El tribunal que hubiere dictado una sentencia sobre una demanda de nulidad o caducidad, que hubiere adquirido firmeza, comunicará de oficio dicha sentencia a la Oficina Española de Patentes y Marcas para que proceda conforme a lo previsto en el apartado anterior.</w:t>
            </w:r>
          </w:p>
          <w:p w:rsidR="00202DAB" w:rsidRPr="00202DAB" w:rsidRDefault="00202DAB" w:rsidP="00202DAB">
            <w:pPr>
              <w:shd w:val="clear" w:color="auto" w:fill="00B0F0"/>
              <w:jc w:val="both"/>
              <w:rPr>
                <w:rFonts w:ascii="Calibri" w:eastAsia="Calibri" w:hAnsi="Calibri"/>
                <w:i/>
                <w:color w:val="000000"/>
                <w:sz w:val="22"/>
                <w:szCs w:val="22"/>
                <w:lang w:eastAsia="en-US"/>
              </w:rPr>
            </w:pPr>
          </w:p>
        </w:tc>
      </w:tr>
      <w:tr w:rsidR="00202DAB" w:rsidRPr="00202DAB" w:rsidTr="00C96B42">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66. </w:t>
            </w:r>
            <w:r w:rsidRPr="00202DAB">
              <w:rPr>
                <w:rFonts w:ascii="Calibri" w:eastAsia="Calibri" w:hAnsi="Calibri"/>
                <w:b/>
                <w:i/>
                <w:iCs/>
                <w:color w:val="000000"/>
                <w:sz w:val="22"/>
                <w:szCs w:val="22"/>
                <w:lang w:eastAsia="en-US"/>
              </w:rPr>
              <w:t>Causas de nulidad.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Además de por las causas de nulidad previstas en los artículos 51 y 52, se declarará la nulidad del registro de una marca colectiva, mediante solicitud presentada ante la Oficina Española de Patentes y Marcas o mediante una demanda de reconvención en una acción por violación, cuando hubiera sido registrada contraviniendo lo dispuesto en el artículo 64, salvo que el titular de la marca, por una modificación del reglamento de uso, cumpliera las prescripciones de las citadas disposiciones.</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66. </w:t>
            </w:r>
            <w:r w:rsidRPr="00202DAB">
              <w:rPr>
                <w:rFonts w:ascii="Calibri" w:eastAsia="Calibri" w:hAnsi="Calibri"/>
                <w:b/>
                <w:i/>
                <w:iCs/>
                <w:color w:val="000000"/>
                <w:sz w:val="22"/>
                <w:szCs w:val="22"/>
                <w:lang w:eastAsia="en-US"/>
              </w:rPr>
              <w:t>Causas de nulidad.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Además de por las causas de nulidad previstas en los artículos 51 y 52, se declarará la nulidad del registro de una marca colectiva, mediante solicitud presentada ante la Oficina Española de Patentes y Marcas o mediante una demanda </w:t>
            </w:r>
            <w:r w:rsidRPr="00202DAB">
              <w:rPr>
                <w:rFonts w:ascii="Calibri" w:eastAsia="Calibri" w:hAnsi="Calibri"/>
                <w:i/>
                <w:color w:val="000000" w:themeColor="text1"/>
                <w:sz w:val="22"/>
                <w:szCs w:val="22"/>
                <w:lang w:eastAsia="en-US"/>
              </w:rPr>
              <w:t xml:space="preserve">presentada ante la jurisdicción civil, </w:t>
            </w:r>
            <w:r w:rsidRPr="00202DAB">
              <w:rPr>
                <w:rFonts w:ascii="Calibri" w:eastAsia="Calibri" w:hAnsi="Calibri"/>
                <w:i/>
                <w:color w:val="000000"/>
                <w:sz w:val="22"/>
                <w:szCs w:val="22"/>
                <w:lang w:eastAsia="en-US"/>
              </w:rPr>
              <w:t>cuando hubiera sido registrada contraviniendo lo dispuesto en el artículo 64, salvo que el titular de la marca, por una modificación del reglamento de uso, cumpliera las prescripciones de las citadas disposiciones.</w:t>
            </w:r>
          </w:p>
        </w:tc>
      </w:tr>
      <w:tr w:rsidR="00202DAB" w:rsidRPr="00202DAB" w:rsidTr="00C96B42">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67. </w:t>
            </w:r>
            <w:r w:rsidRPr="00202DAB">
              <w:rPr>
                <w:rFonts w:ascii="Calibri" w:eastAsia="Calibri" w:hAnsi="Calibri"/>
                <w:b/>
                <w:i/>
                <w:iCs/>
                <w:color w:val="000000"/>
                <w:sz w:val="22"/>
                <w:szCs w:val="22"/>
                <w:lang w:eastAsia="en-US"/>
              </w:rPr>
              <w:t>Causas de caducidad.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Además de por las causas de caducidad señaladas en el artículo 54, se declararán caducados los derechos del titular de una marca colectiva, mediante solicitud presentada ante la Oficina Española de Patentes y Marcas o mediante una demanda de reconvención en una acción por violación, cuando:</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67. </w:t>
            </w:r>
            <w:r w:rsidRPr="00202DAB">
              <w:rPr>
                <w:rFonts w:ascii="Calibri" w:eastAsia="Calibri" w:hAnsi="Calibri"/>
                <w:b/>
                <w:i/>
                <w:iCs/>
                <w:color w:val="000000"/>
                <w:sz w:val="22"/>
                <w:szCs w:val="22"/>
                <w:lang w:eastAsia="en-US"/>
              </w:rPr>
              <w:t>Causas de caducidad.</w:t>
            </w:r>
          </w:p>
          <w:p w:rsidR="00202DAB" w:rsidRPr="00202DAB" w:rsidRDefault="00202DAB" w:rsidP="00202DAB">
            <w:pPr>
              <w:shd w:val="clear" w:color="auto" w:fill="00B0F0"/>
              <w:jc w:val="both"/>
              <w:rPr>
                <w:rFonts w:ascii="Calibri" w:eastAsia="Calibri" w:hAnsi="Calibri"/>
                <w:i/>
                <w:color w:val="B6082E"/>
                <w:sz w:val="22"/>
                <w:szCs w:val="22"/>
                <w:lang w:eastAsia="en-US"/>
              </w:rPr>
            </w:pPr>
            <w:r w:rsidRPr="00202DAB">
              <w:rPr>
                <w:rFonts w:ascii="Calibri" w:eastAsia="Calibri" w:hAnsi="Calibri"/>
                <w:i/>
                <w:color w:val="000000"/>
                <w:sz w:val="22"/>
                <w:szCs w:val="22"/>
                <w:lang w:eastAsia="en-US"/>
              </w:rPr>
              <w:t xml:space="preserve">Además de por las causas de caducidad señaladas en el artículo 54, se declararán caducados los derechos del titular de una marca colectiva, mediante solicitud presentada ante la Oficina Española de Patentes y Marcas o mediante una demanda </w:t>
            </w:r>
            <w:r w:rsidRPr="00202DAB">
              <w:rPr>
                <w:rFonts w:ascii="Calibri" w:eastAsia="Calibri" w:hAnsi="Calibri"/>
                <w:i/>
                <w:color w:val="000000" w:themeColor="text1"/>
                <w:sz w:val="22"/>
                <w:szCs w:val="22"/>
                <w:lang w:eastAsia="en-US"/>
              </w:rPr>
              <w:t>presentada ante la jurisdicción civil, cuando</w:t>
            </w:r>
            <w:r w:rsidRPr="00202DAB">
              <w:rPr>
                <w:rFonts w:ascii="Calibri" w:eastAsia="Calibri" w:hAnsi="Calibri"/>
                <w:i/>
                <w:color w:val="B6082E"/>
                <w:sz w:val="22"/>
                <w:szCs w:val="22"/>
                <w:lang w:eastAsia="en-US"/>
              </w:rPr>
              <w:t>:</w:t>
            </w:r>
          </w:p>
          <w:p w:rsidR="00202DAB" w:rsidRPr="00202DAB" w:rsidRDefault="00202DAB" w:rsidP="00202DAB">
            <w:pPr>
              <w:shd w:val="clear" w:color="auto" w:fill="00B0F0"/>
              <w:jc w:val="both"/>
              <w:rPr>
                <w:rFonts w:ascii="Calibri" w:eastAsia="Calibri" w:hAnsi="Calibri"/>
                <w:i/>
                <w:color w:val="000000"/>
                <w:sz w:val="22"/>
                <w:szCs w:val="22"/>
                <w:lang w:eastAsia="en-US"/>
              </w:rPr>
            </w:pPr>
          </w:p>
        </w:tc>
      </w:tr>
      <w:tr w:rsidR="00202DAB" w:rsidRPr="00202DAB" w:rsidTr="00C96B42">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72. </w:t>
            </w:r>
            <w:r w:rsidRPr="00202DAB">
              <w:rPr>
                <w:rFonts w:ascii="Calibri" w:eastAsia="Calibri" w:hAnsi="Calibri"/>
                <w:b/>
                <w:i/>
                <w:iCs/>
                <w:color w:val="000000"/>
                <w:sz w:val="22"/>
                <w:szCs w:val="22"/>
                <w:lang w:eastAsia="en-US"/>
              </w:rPr>
              <w:t>Causas de nulidad.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Además de por las causas de nulidad previstas en los artículos 51 y 52, se declarará la nulidad del registro de una marca de garantía, mediante solicitud presentada ante la Oficina Española de Patentes y Marcas o mediante una demanda de reconvención en una acción por violación, cuando hubiera sido registrada contraviniendo lo dispuesto en el artículo 70, salvo que el titular de la marca, por una modificación del reglamento de uso, cumpliera las prescripciones de las citadas disposiciones.</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72. </w:t>
            </w:r>
            <w:r w:rsidRPr="00202DAB">
              <w:rPr>
                <w:rFonts w:ascii="Calibri" w:eastAsia="Calibri" w:hAnsi="Calibri"/>
                <w:b/>
                <w:i/>
                <w:iCs/>
                <w:color w:val="000000"/>
                <w:sz w:val="22"/>
                <w:szCs w:val="22"/>
                <w:lang w:eastAsia="en-US"/>
              </w:rPr>
              <w:t>Causas de nulidad.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Además de por las causas de nulidad previstas en los artículos 51 y 52, se declarará la nulidad del registro de una marca de garantía, mediante solicitud presentada ante la Oficina Española de Patentes y Marcas o mediante una </w:t>
            </w:r>
            <w:r w:rsidRPr="00202DAB">
              <w:rPr>
                <w:rFonts w:ascii="Calibri" w:eastAsia="Calibri" w:hAnsi="Calibri"/>
                <w:i/>
                <w:color w:val="000000" w:themeColor="text1"/>
                <w:sz w:val="22"/>
                <w:szCs w:val="22"/>
                <w:lang w:eastAsia="en-US"/>
              </w:rPr>
              <w:t>demanda presentada ante la jurisdicción civil</w:t>
            </w:r>
            <w:r w:rsidRPr="00202DAB">
              <w:rPr>
                <w:rFonts w:ascii="Calibri" w:eastAsia="Calibri" w:hAnsi="Calibri"/>
                <w:i/>
                <w:color w:val="000000"/>
                <w:sz w:val="22"/>
                <w:szCs w:val="22"/>
                <w:lang w:eastAsia="en-US"/>
              </w:rPr>
              <w:t>, cuando hubiera sido registrada contraviniendo lo dispuesto en el artículo 70, salvo que el titular de la marca, por una modificación del reglamento de uso, cumpliera las prescripciones de las citadas disposiciones.</w:t>
            </w:r>
          </w:p>
          <w:p w:rsidR="00202DAB" w:rsidRPr="00202DAB" w:rsidRDefault="00202DAB" w:rsidP="00202DAB">
            <w:pPr>
              <w:shd w:val="clear" w:color="auto" w:fill="00B0F0"/>
              <w:jc w:val="both"/>
              <w:rPr>
                <w:rFonts w:ascii="Calibri" w:eastAsia="Calibri" w:hAnsi="Calibri"/>
                <w:i/>
                <w:color w:val="000000"/>
                <w:sz w:val="22"/>
                <w:szCs w:val="22"/>
                <w:lang w:eastAsia="en-US"/>
              </w:rPr>
            </w:pPr>
          </w:p>
        </w:tc>
      </w:tr>
      <w:tr w:rsidR="00202DAB" w:rsidRPr="00202DAB" w:rsidTr="00C96B42">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73. </w:t>
            </w:r>
            <w:r w:rsidRPr="00202DAB">
              <w:rPr>
                <w:rFonts w:ascii="Calibri" w:eastAsia="Calibri" w:hAnsi="Calibri"/>
                <w:b/>
                <w:i/>
                <w:iCs/>
                <w:color w:val="000000"/>
                <w:sz w:val="22"/>
                <w:szCs w:val="22"/>
                <w:lang w:eastAsia="en-US"/>
              </w:rPr>
              <w:t>Causas de caducidad.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Además de por las causas de caducidad señaladas en el artículo 54, se declararán caducados los derechos del titular de una marca de garantía, mediante solicitud presentada ante la Oficina Española de Patentes y Marcas o mediante una demanda de reconvención en una acción por violación, cuando:</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iCs/>
                <w:color w:val="000000"/>
                <w:sz w:val="22"/>
                <w:szCs w:val="22"/>
                <w:lang w:eastAsia="en-US"/>
              </w:rPr>
            </w:pPr>
            <w:r w:rsidRPr="00202DAB">
              <w:rPr>
                <w:rFonts w:ascii="Calibri" w:eastAsia="Calibri" w:hAnsi="Calibri"/>
                <w:b/>
                <w:i/>
                <w:color w:val="000000"/>
                <w:sz w:val="22"/>
                <w:szCs w:val="22"/>
                <w:lang w:eastAsia="en-US"/>
              </w:rPr>
              <w:t xml:space="preserve">Artículo 73. </w:t>
            </w:r>
            <w:r w:rsidRPr="00202DAB">
              <w:rPr>
                <w:rFonts w:ascii="Calibri" w:eastAsia="Calibri" w:hAnsi="Calibri"/>
                <w:b/>
                <w:i/>
                <w:iCs/>
                <w:color w:val="000000"/>
                <w:sz w:val="22"/>
                <w:szCs w:val="22"/>
                <w:lang w:eastAsia="en-US"/>
              </w:rPr>
              <w:t>Causas de caducidad.</w:t>
            </w: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 xml:space="preserve">Además de por las causas de caducidad señaladas en el artículo 54, se declararán caducados los derechos del titular de una marca de garantía, mediante solicitud presentada ante la Oficina Española de Patentes y Marcas o mediante una demanda </w:t>
            </w:r>
            <w:r w:rsidRPr="00202DAB">
              <w:rPr>
                <w:rFonts w:ascii="Calibri" w:eastAsia="Calibri" w:hAnsi="Calibri"/>
                <w:i/>
                <w:color w:val="000000" w:themeColor="text1"/>
                <w:sz w:val="22"/>
                <w:szCs w:val="22"/>
                <w:lang w:eastAsia="en-US"/>
              </w:rPr>
              <w:t xml:space="preserve">presentada ante la jurisdicción civil, </w:t>
            </w:r>
            <w:r w:rsidRPr="00202DAB">
              <w:rPr>
                <w:rFonts w:ascii="Calibri" w:eastAsia="Calibri" w:hAnsi="Calibri"/>
                <w:i/>
                <w:color w:val="000000"/>
                <w:sz w:val="22"/>
                <w:szCs w:val="22"/>
                <w:lang w:eastAsia="en-US"/>
              </w:rPr>
              <w:t>cuando:</w:t>
            </w:r>
          </w:p>
          <w:p w:rsidR="00202DAB" w:rsidRPr="00202DAB" w:rsidRDefault="00202DAB" w:rsidP="00202DAB">
            <w:pPr>
              <w:shd w:val="clear" w:color="auto" w:fill="00B0F0"/>
              <w:jc w:val="both"/>
              <w:rPr>
                <w:rFonts w:ascii="Calibri" w:eastAsia="Calibri" w:hAnsi="Calibri"/>
                <w:i/>
                <w:color w:val="000000"/>
                <w:sz w:val="22"/>
                <w:szCs w:val="22"/>
                <w:lang w:eastAsia="en-US"/>
              </w:rPr>
            </w:pPr>
          </w:p>
        </w:tc>
      </w:tr>
      <w:tr w:rsidR="00202DAB" w:rsidRPr="00202DAB" w:rsidTr="00C96B42">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b/>
                <w:bCs/>
                <w:i/>
                <w:color w:val="000000"/>
                <w:sz w:val="22"/>
                <w:szCs w:val="22"/>
                <w:lang w:eastAsia="en-US"/>
              </w:rPr>
              <w:t xml:space="preserve">Treinta y ocho. </w:t>
            </w:r>
            <w:r w:rsidRPr="00202DAB">
              <w:rPr>
                <w:rFonts w:ascii="Calibri" w:eastAsia="Calibri" w:hAnsi="Calibri"/>
                <w:b/>
                <w:i/>
                <w:color w:val="000000"/>
                <w:sz w:val="22"/>
                <w:szCs w:val="22"/>
                <w:lang w:eastAsia="en-US"/>
              </w:rPr>
              <w:t>Se modifica el apartado 1y se añade un nuevo apartado 2 en la disposición</w:t>
            </w:r>
          </w:p>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b/>
                <w:i/>
                <w:color w:val="000000"/>
                <w:sz w:val="22"/>
                <w:szCs w:val="22"/>
                <w:lang w:eastAsia="en-US"/>
              </w:rPr>
              <w:t>adicional primera, renumerándose el actual apartado 2 como apartado 3, con la siguiente redacción:</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i/>
                <w:color w:val="000000"/>
                <w:sz w:val="22"/>
                <w:szCs w:val="22"/>
                <w:lang w:eastAsia="en-US"/>
              </w:rPr>
              <w:t>2. La competencia para declarar la nulidad y caducidad de los signos distintivos regulados en la presente Ley corresponderá por vía directa a la Oficina Española de Patentes y Marcas y por vía de reconvención a la jurisdicción civil, de acuerdo con lo previsto en los artículos 51,52 y 54.</w:t>
            </w:r>
          </w:p>
        </w:tc>
        <w:tc>
          <w:tcPr>
            <w:tcW w:w="4322" w:type="dxa"/>
            <w:shd w:val="clear" w:color="auto" w:fill="FFFFFF" w:themeFill="background1"/>
          </w:tcPr>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b/>
                <w:bCs/>
                <w:i/>
                <w:color w:val="000000"/>
                <w:sz w:val="22"/>
                <w:szCs w:val="22"/>
                <w:lang w:eastAsia="en-US"/>
              </w:rPr>
              <w:t xml:space="preserve">Treinta y ocho. </w:t>
            </w:r>
            <w:r w:rsidRPr="00202DAB">
              <w:rPr>
                <w:rFonts w:ascii="Calibri" w:eastAsia="Calibri" w:hAnsi="Calibri"/>
                <w:b/>
                <w:i/>
                <w:color w:val="000000"/>
                <w:sz w:val="22"/>
                <w:szCs w:val="22"/>
                <w:lang w:eastAsia="en-US"/>
              </w:rPr>
              <w:t>Se modifica el apartado 1y se añade un nuevo apartado 2 en la disposición</w:t>
            </w:r>
          </w:p>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b/>
                <w:i/>
                <w:color w:val="000000"/>
                <w:sz w:val="22"/>
                <w:szCs w:val="22"/>
                <w:lang w:eastAsia="en-US"/>
              </w:rPr>
              <w:t>adicional primera, renumerándose el actual apartado 2 como apartado 3, con la siguiente redacción:</w:t>
            </w:r>
          </w:p>
          <w:p w:rsidR="00202DAB" w:rsidRPr="00202DAB" w:rsidRDefault="00202DAB" w:rsidP="00202DAB">
            <w:pPr>
              <w:shd w:val="clear" w:color="auto" w:fill="00B0F0"/>
              <w:jc w:val="both"/>
              <w:rPr>
                <w:rFonts w:ascii="Calibri" w:eastAsia="Calibri" w:hAnsi="Calibri"/>
                <w:i/>
                <w:color w:val="000000"/>
                <w:sz w:val="22"/>
                <w:szCs w:val="22"/>
                <w:lang w:eastAsia="en-US"/>
              </w:rPr>
            </w:pPr>
          </w:p>
          <w:p w:rsidR="00202DAB" w:rsidRPr="00202DAB" w:rsidRDefault="00202DAB" w:rsidP="00202DAB">
            <w:pPr>
              <w:shd w:val="clear" w:color="auto" w:fill="00B0F0"/>
              <w:jc w:val="both"/>
              <w:rPr>
                <w:rFonts w:ascii="Calibri" w:eastAsia="Calibri" w:hAnsi="Calibri"/>
                <w:i/>
                <w:color w:val="000000"/>
                <w:sz w:val="22"/>
                <w:szCs w:val="22"/>
                <w:lang w:eastAsia="en-US"/>
              </w:rPr>
            </w:pPr>
            <w:r w:rsidRPr="00202DAB">
              <w:rPr>
                <w:rFonts w:ascii="Calibri" w:eastAsia="Calibri" w:hAnsi="Calibri"/>
                <w:i/>
                <w:color w:val="000000"/>
                <w:sz w:val="22"/>
                <w:szCs w:val="22"/>
                <w:lang w:eastAsia="en-US"/>
              </w:rPr>
              <w:t>(…)</w:t>
            </w:r>
          </w:p>
          <w:p w:rsidR="00202DAB" w:rsidRPr="00202DAB" w:rsidRDefault="00202DAB" w:rsidP="00202DAB">
            <w:pPr>
              <w:shd w:val="clear" w:color="auto" w:fill="00B0F0"/>
              <w:jc w:val="both"/>
              <w:rPr>
                <w:rFonts w:ascii="Calibri" w:eastAsia="Calibri" w:hAnsi="Calibri"/>
                <w:b/>
                <w:i/>
                <w:color w:val="000000"/>
                <w:sz w:val="22"/>
                <w:szCs w:val="22"/>
                <w:lang w:eastAsia="en-US"/>
              </w:rPr>
            </w:pPr>
            <w:r w:rsidRPr="00202DAB">
              <w:rPr>
                <w:rFonts w:ascii="Calibri" w:eastAsia="Calibri" w:hAnsi="Calibri"/>
                <w:i/>
                <w:color w:val="000000"/>
                <w:sz w:val="22"/>
                <w:szCs w:val="22"/>
                <w:lang w:eastAsia="en-US"/>
              </w:rPr>
              <w:t>2. La competencia para declarar la nulidad y caducidad de los signos distintivos regulados en la presente Ley corresponderá a la Oficina Española de Patentes y Marcas y a la jurisdicción civil, de acuerdo con lo previsto en los artículos 51,52 y 54.</w:t>
            </w:r>
          </w:p>
        </w:tc>
      </w:tr>
      <w:tr w:rsidR="00202DAB" w:rsidRPr="00202DAB" w:rsidTr="00C96B42">
        <w:tc>
          <w:tcPr>
            <w:tcW w:w="4322" w:type="dxa"/>
            <w:shd w:val="clear" w:color="auto" w:fill="FFFFFF" w:themeFill="background1"/>
          </w:tcPr>
          <w:p w:rsidR="00202DAB" w:rsidRPr="00202DAB" w:rsidRDefault="00202DAB" w:rsidP="00202DAB">
            <w:pPr>
              <w:shd w:val="clear" w:color="auto" w:fill="00B0F0"/>
              <w:autoSpaceDE w:val="0"/>
              <w:autoSpaceDN w:val="0"/>
              <w:adjustRightInd w:val="0"/>
              <w:jc w:val="both"/>
              <w:rPr>
                <w:rFonts w:ascii="Calibri" w:eastAsia="Calibri" w:hAnsi="Calibri"/>
                <w:b/>
                <w:bCs/>
                <w:i/>
                <w:color w:val="000000"/>
                <w:sz w:val="22"/>
                <w:szCs w:val="22"/>
                <w:lang w:eastAsia="en-US"/>
              </w:rPr>
            </w:pPr>
          </w:p>
        </w:tc>
        <w:tc>
          <w:tcPr>
            <w:tcW w:w="4322" w:type="dxa"/>
            <w:shd w:val="clear" w:color="auto" w:fill="FFFFFF" w:themeFill="background1"/>
          </w:tcPr>
          <w:p w:rsidR="00202DAB" w:rsidRPr="00202DAB" w:rsidRDefault="00202DAB" w:rsidP="00202DAB">
            <w:pPr>
              <w:shd w:val="clear" w:color="auto" w:fill="00B0F0"/>
              <w:autoSpaceDE w:val="0"/>
              <w:autoSpaceDN w:val="0"/>
              <w:adjustRightInd w:val="0"/>
              <w:jc w:val="both"/>
              <w:rPr>
                <w:rFonts w:ascii="Calibri" w:eastAsia="Calibri" w:hAnsi="Calibri"/>
                <w:b/>
                <w:bCs/>
                <w:i/>
                <w:color w:val="000000"/>
                <w:sz w:val="22"/>
                <w:szCs w:val="22"/>
                <w:lang w:eastAsia="en-US"/>
              </w:rPr>
            </w:pPr>
          </w:p>
        </w:tc>
      </w:tr>
    </w:tbl>
    <w:p w:rsidR="00FD4610" w:rsidRDefault="00FD4610" w:rsidP="00FD4610"/>
    <w:p w:rsidR="00FD4610" w:rsidRDefault="00C96B42" w:rsidP="00FD4610">
      <w:pPr>
        <w:jc w:val="both"/>
        <w:rPr>
          <w:rFonts w:ascii="Calibri" w:eastAsia="Calibri" w:hAnsi="Calibri"/>
          <w:b/>
          <w:sz w:val="22"/>
          <w:szCs w:val="22"/>
          <w:u w:val="single"/>
          <w:lang w:eastAsia="en-US"/>
        </w:rPr>
      </w:pPr>
      <w:r>
        <w:rPr>
          <w:rFonts w:ascii="Calibri" w:eastAsia="Calibri" w:hAnsi="Calibri"/>
          <w:b/>
          <w:sz w:val="22"/>
          <w:szCs w:val="22"/>
          <w:u w:val="single"/>
          <w:lang w:eastAsia="en-US"/>
        </w:rPr>
        <w:t xml:space="preserve">NECESARIA OBSERVANCIA DE LA </w:t>
      </w:r>
      <w:r w:rsidRPr="00C96B42">
        <w:rPr>
          <w:rFonts w:ascii="Calibri" w:eastAsia="Calibri" w:hAnsi="Calibri"/>
          <w:b/>
          <w:sz w:val="22"/>
          <w:szCs w:val="22"/>
          <w:u w:val="single"/>
          <w:lang w:eastAsia="en-US"/>
        </w:rPr>
        <w:t>ATRIBUCIÓN DE COMPETENCIA OBJETIVA EN MATERIA DE PROPIEDAD INDUSTRIAL QUE FUE OTORGADA A LOS JUZGADOS DE LO MERCANTIL CON MOTIVO DE LA LEY ORGÁNICA 8/2003</w:t>
      </w:r>
    </w:p>
    <w:p w:rsidR="00C96B42" w:rsidRPr="00C96B42" w:rsidRDefault="00C96B42" w:rsidP="00FD4610">
      <w:pPr>
        <w:jc w:val="both"/>
        <w:rPr>
          <w:rFonts w:ascii="Calibri" w:eastAsia="Calibri" w:hAnsi="Calibri"/>
          <w:b/>
          <w:sz w:val="22"/>
          <w:szCs w:val="22"/>
          <w:u w:val="single"/>
          <w:lang w:eastAsia="en-US"/>
        </w:rPr>
      </w:pPr>
    </w:p>
    <w:p w:rsidR="00FD4610" w:rsidRDefault="00FD4610" w:rsidP="00FD4610">
      <w:pPr>
        <w:ind w:firstLine="709"/>
        <w:jc w:val="both"/>
        <w:rPr>
          <w:rFonts w:ascii="Calibri" w:eastAsia="Calibri" w:hAnsi="Calibri"/>
          <w:sz w:val="22"/>
          <w:szCs w:val="22"/>
          <w:lang w:eastAsia="en-US"/>
        </w:rPr>
      </w:pPr>
    </w:p>
    <w:p w:rsidR="00FD4610" w:rsidRPr="004D3440" w:rsidRDefault="00C96B42" w:rsidP="00FD4610">
      <w:pPr>
        <w:jc w:val="both"/>
        <w:rPr>
          <w:rFonts w:ascii="Calibri" w:eastAsia="Calibri" w:hAnsi="Calibri"/>
          <w:sz w:val="22"/>
          <w:szCs w:val="22"/>
          <w:lang w:eastAsia="en-US"/>
        </w:rPr>
      </w:pPr>
      <w:r>
        <w:rPr>
          <w:rFonts w:ascii="Calibri" w:eastAsia="Calibri" w:hAnsi="Calibri"/>
          <w:sz w:val="22"/>
          <w:szCs w:val="22"/>
          <w:lang w:eastAsia="en-US"/>
        </w:rPr>
        <w:t xml:space="preserve">CEFI </w:t>
      </w:r>
      <w:r w:rsidR="00FD4610">
        <w:rPr>
          <w:rFonts w:ascii="Calibri" w:eastAsia="Calibri" w:hAnsi="Calibri"/>
          <w:sz w:val="22"/>
          <w:szCs w:val="22"/>
          <w:lang w:eastAsia="en-US"/>
        </w:rPr>
        <w:t>considera que se debe tener en cuenta</w:t>
      </w:r>
      <w:r w:rsidR="00FD4610" w:rsidRPr="004D3440">
        <w:rPr>
          <w:rFonts w:ascii="Calibri" w:eastAsia="Calibri" w:hAnsi="Calibri"/>
          <w:sz w:val="22"/>
          <w:szCs w:val="22"/>
          <w:lang w:eastAsia="en-US"/>
        </w:rPr>
        <w:t xml:space="preserve"> la atribución de competencia objetiva en materia de propiedad industrial </w:t>
      </w:r>
      <w:r w:rsidR="00FD4610">
        <w:rPr>
          <w:rFonts w:ascii="Calibri" w:eastAsia="Calibri" w:hAnsi="Calibri"/>
          <w:sz w:val="22"/>
          <w:szCs w:val="22"/>
          <w:lang w:eastAsia="en-US"/>
        </w:rPr>
        <w:t xml:space="preserve">que fue otorgada </w:t>
      </w:r>
      <w:r w:rsidR="00FD4610" w:rsidRPr="004D3440">
        <w:rPr>
          <w:rFonts w:ascii="Calibri" w:eastAsia="Calibri" w:hAnsi="Calibri"/>
          <w:sz w:val="22"/>
          <w:szCs w:val="22"/>
          <w:lang w:eastAsia="en-US"/>
        </w:rPr>
        <w:t xml:space="preserve">a los Juzgados de lo mercantil </w:t>
      </w:r>
      <w:r w:rsidR="00FD4610">
        <w:rPr>
          <w:rFonts w:ascii="Calibri" w:eastAsia="Calibri" w:hAnsi="Calibri"/>
          <w:sz w:val="22"/>
          <w:szCs w:val="22"/>
          <w:lang w:eastAsia="en-US"/>
        </w:rPr>
        <w:t xml:space="preserve">con motivo de la Ley Orgánica </w:t>
      </w:r>
      <w:r w:rsidR="00FD4610" w:rsidRPr="004D3440">
        <w:rPr>
          <w:rFonts w:ascii="Calibri" w:eastAsia="Calibri" w:hAnsi="Calibri"/>
          <w:sz w:val="22"/>
          <w:szCs w:val="22"/>
          <w:lang w:eastAsia="en-US"/>
        </w:rPr>
        <w:t>8/2003.</w:t>
      </w:r>
    </w:p>
    <w:p w:rsidR="00F41E1C" w:rsidRDefault="00F41E1C" w:rsidP="00F41E1C">
      <w:pPr>
        <w:jc w:val="both"/>
        <w:rPr>
          <w:rFonts w:ascii="Calibri" w:eastAsia="Calibri" w:hAnsi="Calibri"/>
          <w:sz w:val="22"/>
          <w:szCs w:val="22"/>
          <w:lang w:eastAsia="en-US"/>
        </w:rPr>
      </w:pPr>
    </w:p>
    <w:p w:rsidR="00FD4610" w:rsidRPr="004D3440" w:rsidRDefault="00FD4610" w:rsidP="00F41E1C">
      <w:pPr>
        <w:jc w:val="both"/>
        <w:rPr>
          <w:rFonts w:ascii="Calibri" w:eastAsia="Calibri" w:hAnsi="Calibri"/>
          <w:sz w:val="22"/>
          <w:szCs w:val="22"/>
          <w:lang w:eastAsia="en-US"/>
        </w:rPr>
      </w:pPr>
      <w:r w:rsidRPr="004D3440">
        <w:rPr>
          <w:rFonts w:ascii="Calibri" w:eastAsia="Calibri" w:hAnsi="Calibri"/>
          <w:sz w:val="22"/>
          <w:szCs w:val="22"/>
          <w:lang w:eastAsia="en-US"/>
        </w:rPr>
        <w:t xml:space="preserve">La </w:t>
      </w:r>
      <w:r>
        <w:rPr>
          <w:rFonts w:ascii="Calibri" w:eastAsia="Calibri" w:hAnsi="Calibri"/>
          <w:sz w:val="22"/>
          <w:szCs w:val="22"/>
          <w:lang w:eastAsia="en-US"/>
        </w:rPr>
        <w:t xml:space="preserve">necesaria </w:t>
      </w:r>
      <w:r w:rsidRPr="004D3440">
        <w:rPr>
          <w:rFonts w:ascii="Calibri" w:eastAsia="Calibri" w:hAnsi="Calibri"/>
          <w:sz w:val="22"/>
          <w:szCs w:val="22"/>
          <w:lang w:eastAsia="en-US"/>
        </w:rPr>
        <w:t xml:space="preserve">atribución de </w:t>
      </w:r>
      <w:r>
        <w:rPr>
          <w:rFonts w:ascii="Calibri" w:eastAsia="Calibri" w:hAnsi="Calibri"/>
          <w:sz w:val="22"/>
          <w:szCs w:val="22"/>
          <w:lang w:eastAsia="en-US"/>
        </w:rPr>
        <w:t>esta</w:t>
      </w:r>
      <w:r w:rsidRPr="004D3440">
        <w:rPr>
          <w:rFonts w:ascii="Calibri" w:eastAsia="Calibri" w:hAnsi="Calibri"/>
          <w:sz w:val="22"/>
          <w:szCs w:val="22"/>
          <w:lang w:eastAsia="en-US"/>
        </w:rPr>
        <w:t xml:space="preserve"> competencia </w:t>
      </w:r>
      <w:r>
        <w:rPr>
          <w:rFonts w:ascii="Calibri" w:eastAsia="Calibri" w:hAnsi="Calibri"/>
          <w:sz w:val="22"/>
          <w:szCs w:val="22"/>
          <w:lang w:eastAsia="en-US"/>
        </w:rPr>
        <w:t>se</w:t>
      </w:r>
      <w:r w:rsidRPr="004D3440">
        <w:rPr>
          <w:rFonts w:ascii="Calibri" w:eastAsia="Calibri" w:hAnsi="Calibri"/>
          <w:sz w:val="22"/>
          <w:szCs w:val="22"/>
          <w:lang w:eastAsia="en-US"/>
        </w:rPr>
        <w:t xml:space="preserve"> alcanza desde el momento de la creación de los Juzgados lo mercantil que asumen con carácter exclusivo la competencia objetiva en materia de propiedad industrial, entre otras materias, conforme a lo establecido en el art. 86 ter.2 de la Ley Orgánica del Poder Judicial</w:t>
      </w:r>
      <w:r w:rsidRPr="004D3440">
        <w:rPr>
          <w:rFonts w:ascii="Calibri" w:eastAsia="Calibri" w:hAnsi="Calibri"/>
          <w:b/>
          <w:sz w:val="22"/>
          <w:szCs w:val="22"/>
          <w:lang w:eastAsia="en-US"/>
        </w:rPr>
        <w:t xml:space="preserve"> </w:t>
      </w:r>
      <w:r w:rsidRPr="004D3440">
        <w:rPr>
          <w:rFonts w:ascii="Calibri" w:eastAsia="Calibri" w:hAnsi="Calibri"/>
          <w:sz w:val="22"/>
          <w:szCs w:val="22"/>
          <w:lang w:eastAsia="en-US"/>
        </w:rPr>
        <w:t>desde la reforma operada por L</w:t>
      </w:r>
      <w:r>
        <w:rPr>
          <w:rFonts w:ascii="Calibri" w:eastAsia="Calibri" w:hAnsi="Calibri"/>
          <w:sz w:val="22"/>
          <w:szCs w:val="22"/>
          <w:lang w:eastAsia="en-US"/>
        </w:rPr>
        <w:t>ey Orgánica</w:t>
      </w:r>
      <w:r w:rsidRPr="004D3440">
        <w:rPr>
          <w:rFonts w:ascii="Calibri" w:eastAsia="Calibri" w:hAnsi="Calibri"/>
          <w:sz w:val="22"/>
          <w:szCs w:val="22"/>
          <w:lang w:eastAsia="en-US"/>
        </w:rPr>
        <w:t xml:space="preserve"> 8/2003.</w:t>
      </w:r>
    </w:p>
    <w:p w:rsidR="00F41E1C" w:rsidRDefault="00F41E1C" w:rsidP="00F41E1C">
      <w:pPr>
        <w:jc w:val="both"/>
        <w:rPr>
          <w:rFonts w:ascii="Calibri" w:eastAsia="Calibri" w:hAnsi="Calibri"/>
          <w:sz w:val="22"/>
          <w:szCs w:val="22"/>
          <w:lang w:eastAsia="en-US"/>
        </w:rPr>
      </w:pPr>
    </w:p>
    <w:p w:rsidR="00C96B42" w:rsidRDefault="00FD4610" w:rsidP="00F41E1C">
      <w:pPr>
        <w:jc w:val="both"/>
        <w:rPr>
          <w:rFonts w:ascii="Calibri" w:eastAsia="Calibri" w:hAnsi="Calibri"/>
          <w:sz w:val="22"/>
          <w:szCs w:val="22"/>
          <w:lang w:eastAsia="en-US"/>
        </w:rPr>
      </w:pPr>
      <w:r w:rsidRPr="004D3440">
        <w:rPr>
          <w:rFonts w:ascii="Calibri" w:eastAsia="Calibri" w:hAnsi="Calibri"/>
          <w:sz w:val="22"/>
          <w:szCs w:val="22"/>
          <w:lang w:eastAsia="en-US"/>
        </w:rPr>
        <w:t xml:space="preserve">En otras materias de competencia exclusiva de los Juzgados de lo mercantil de naturaleza similar, </w:t>
      </w:r>
      <w:r w:rsidRPr="002E533E">
        <w:rPr>
          <w:rFonts w:ascii="Calibri" w:eastAsia="Calibri" w:hAnsi="Calibri"/>
          <w:sz w:val="22"/>
          <w:szCs w:val="22"/>
          <w:lang w:eastAsia="en-US"/>
        </w:rPr>
        <w:t>como es la propiedad intelectual y la competencia desleal, no existe esta atribución de competencia a favor de otros órdenes jurisdiccionales</w:t>
      </w:r>
      <w:r w:rsidR="00C96B42">
        <w:rPr>
          <w:rFonts w:ascii="Calibri" w:eastAsia="Calibri" w:hAnsi="Calibri"/>
          <w:sz w:val="22"/>
          <w:szCs w:val="22"/>
          <w:lang w:eastAsia="en-US"/>
        </w:rPr>
        <w:t>.</w:t>
      </w:r>
    </w:p>
    <w:p w:rsidR="00C96B42" w:rsidRDefault="00C96B42" w:rsidP="00F41E1C">
      <w:pPr>
        <w:jc w:val="both"/>
        <w:rPr>
          <w:rFonts w:ascii="Calibri" w:eastAsia="Calibri" w:hAnsi="Calibri"/>
          <w:sz w:val="22"/>
          <w:szCs w:val="22"/>
          <w:lang w:eastAsia="en-US"/>
        </w:rPr>
      </w:pPr>
    </w:p>
    <w:p w:rsidR="00C96B42" w:rsidRDefault="00C96B42" w:rsidP="00C96B42">
      <w:pPr>
        <w:jc w:val="both"/>
        <w:rPr>
          <w:rFonts w:ascii="Calibri" w:eastAsia="Calibri" w:hAnsi="Calibri"/>
          <w:sz w:val="22"/>
          <w:szCs w:val="22"/>
          <w:lang w:eastAsia="en-US"/>
        </w:rPr>
      </w:pPr>
      <w:r>
        <w:rPr>
          <w:rFonts w:ascii="Calibri" w:eastAsia="Calibri" w:hAnsi="Calibri"/>
          <w:sz w:val="22"/>
          <w:szCs w:val="22"/>
          <w:lang w:eastAsia="en-US"/>
        </w:rPr>
        <w:t xml:space="preserve">CEFI considera adecuado que se haya previsto un régimen transitorio en el que el orden civil se encargue de resolver las solicitudes de caducidad o nulidad de una marca. </w:t>
      </w:r>
    </w:p>
    <w:p w:rsidR="00C96B42" w:rsidRDefault="00C96B42" w:rsidP="00C96B42">
      <w:pPr>
        <w:jc w:val="both"/>
        <w:rPr>
          <w:rFonts w:ascii="Calibri" w:eastAsia="Calibri" w:hAnsi="Calibri"/>
          <w:sz w:val="22"/>
          <w:szCs w:val="22"/>
          <w:lang w:eastAsia="en-US"/>
        </w:rPr>
      </w:pPr>
    </w:p>
    <w:p w:rsidR="00C96B42" w:rsidRPr="009167EF" w:rsidRDefault="00C96B42" w:rsidP="00C96B42">
      <w:pPr>
        <w:ind w:left="709"/>
        <w:jc w:val="both"/>
        <w:rPr>
          <w:rFonts w:ascii="Calibri" w:eastAsia="Calibri" w:hAnsi="Calibri"/>
          <w:i/>
          <w:sz w:val="22"/>
          <w:szCs w:val="22"/>
          <w:lang w:eastAsia="en-US"/>
        </w:rPr>
      </w:pPr>
      <w:r>
        <w:rPr>
          <w:rFonts w:ascii="Calibri" w:eastAsia="Calibri" w:hAnsi="Calibri"/>
          <w:b/>
          <w:i/>
          <w:sz w:val="22"/>
          <w:szCs w:val="22"/>
          <w:lang w:eastAsia="en-US"/>
        </w:rPr>
        <w:t>“</w:t>
      </w:r>
      <w:r w:rsidRPr="009167EF">
        <w:rPr>
          <w:rFonts w:ascii="Calibri" w:eastAsia="Calibri" w:hAnsi="Calibri"/>
          <w:b/>
          <w:i/>
          <w:sz w:val="22"/>
          <w:szCs w:val="22"/>
          <w:lang w:eastAsia="en-US"/>
        </w:rPr>
        <w:t>Disposición transitoria única.</w:t>
      </w:r>
      <w:r w:rsidRPr="009167EF">
        <w:rPr>
          <w:rFonts w:ascii="Calibri" w:eastAsia="Calibri" w:hAnsi="Calibri"/>
          <w:i/>
          <w:sz w:val="22"/>
          <w:szCs w:val="22"/>
          <w:lang w:eastAsia="en-US"/>
        </w:rPr>
        <w:t xml:space="preserve"> Régimen transitorio</w:t>
      </w:r>
    </w:p>
    <w:p w:rsidR="00C96B42" w:rsidRDefault="00C96B42" w:rsidP="00C96B42">
      <w:pPr>
        <w:ind w:left="709"/>
        <w:jc w:val="both"/>
        <w:rPr>
          <w:rFonts w:ascii="Calibri" w:eastAsia="Calibri" w:hAnsi="Calibri"/>
          <w:sz w:val="22"/>
          <w:szCs w:val="22"/>
          <w:lang w:eastAsia="en-US"/>
        </w:rPr>
      </w:pPr>
    </w:p>
    <w:p w:rsidR="00C96B42" w:rsidRPr="00A478C0" w:rsidRDefault="00C96B42" w:rsidP="00C96B42">
      <w:pPr>
        <w:ind w:left="709"/>
        <w:jc w:val="both"/>
        <w:rPr>
          <w:rFonts w:ascii="Calibri" w:eastAsia="Calibri" w:hAnsi="Calibri"/>
          <w:i/>
          <w:sz w:val="22"/>
          <w:szCs w:val="22"/>
          <w:lang w:eastAsia="en-US"/>
        </w:rPr>
      </w:pPr>
      <w:r>
        <w:rPr>
          <w:rFonts w:ascii="Calibri" w:eastAsia="Calibri" w:hAnsi="Calibri"/>
          <w:i/>
          <w:sz w:val="22"/>
          <w:szCs w:val="22"/>
          <w:lang w:eastAsia="en-US"/>
        </w:rPr>
        <w:t xml:space="preserve">3. </w:t>
      </w:r>
      <w:r w:rsidRPr="00A478C0">
        <w:rPr>
          <w:rFonts w:ascii="Calibri" w:eastAsia="Calibri" w:hAnsi="Calibri"/>
          <w:i/>
          <w:sz w:val="22"/>
          <w:szCs w:val="22"/>
          <w:lang w:eastAsia="en-US"/>
        </w:rPr>
        <w:t xml:space="preserve">Hasta que </w:t>
      </w:r>
      <w:r>
        <w:rPr>
          <w:rFonts w:ascii="Calibri" w:eastAsia="Calibri" w:hAnsi="Calibri"/>
          <w:i/>
          <w:sz w:val="22"/>
          <w:szCs w:val="22"/>
          <w:lang w:eastAsia="en-US"/>
        </w:rPr>
        <w:t xml:space="preserve">la </w:t>
      </w:r>
      <w:r w:rsidRPr="00A478C0">
        <w:rPr>
          <w:rFonts w:ascii="Calibri" w:eastAsia="Calibri" w:hAnsi="Calibri"/>
          <w:i/>
          <w:sz w:val="22"/>
          <w:szCs w:val="22"/>
          <w:lang w:eastAsia="en-US"/>
        </w:rPr>
        <w:t>Oficina Española de Patentes y Marcas, conforme a lo previsto en el apartado 2 de la disposición adicional primera, en la versión introducida por la presente Ley, y disposición final cuarta, adquiera la competencia para declarar la nulidad o caducidad de los signos distintivos regulados en esta Ley, será competente la jurisdicción civil de acuerdo con lo previsto en el Titulo XII de la Ley 24/2015, de 24 de julio, de Patentes y de conformidad con las disposiciones sustantivas previstas en el título VI de la presente Ley.</w:t>
      </w:r>
      <w:r>
        <w:rPr>
          <w:rFonts w:ascii="Calibri" w:eastAsia="Calibri" w:hAnsi="Calibri"/>
          <w:i/>
          <w:sz w:val="22"/>
          <w:szCs w:val="22"/>
          <w:lang w:eastAsia="en-US"/>
        </w:rPr>
        <w:t>”</w:t>
      </w:r>
    </w:p>
    <w:p w:rsidR="00F41E1C" w:rsidRDefault="00F41E1C" w:rsidP="00F41E1C">
      <w:pPr>
        <w:jc w:val="both"/>
        <w:rPr>
          <w:rFonts w:ascii="Calibri" w:eastAsia="Calibri" w:hAnsi="Calibri"/>
          <w:sz w:val="22"/>
          <w:szCs w:val="22"/>
          <w:lang w:eastAsia="en-US"/>
        </w:rPr>
      </w:pPr>
    </w:p>
    <w:p w:rsidR="00F41E1C" w:rsidRPr="004D3440" w:rsidRDefault="00F41E1C" w:rsidP="00FD4610">
      <w:pPr>
        <w:ind w:firstLine="709"/>
        <w:jc w:val="both"/>
        <w:rPr>
          <w:rFonts w:ascii="Calibri" w:eastAsia="Calibri" w:hAnsi="Calibri"/>
          <w:sz w:val="22"/>
          <w:szCs w:val="22"/>
          <w:lang w:eastAsia="en-US"/>
        </w:rPr>
      </w:pPr>
    </w:p>
    <w:p w:rsidR="00C96B42" w:rsidRDefault="00C96B42" w:rsidP="00C96B42">
      <w:pPr>
        <w:jc w:val="both"/>
        <w:rPr>
          <w:rFonts w:ascii="Calibri" w:eastAsia="Calibri" w:hAnsi="Calibri"/>
          <w:sz w:val="22"/>
          <w:szCs w:val="22"/>
          <w:lang w:eastAsia="en-US"/>
        </w:rPr>
      </w:pPr>
      <w:r>
        <w:rPr>
          <w:rFonts w:ascii="Calibri" w:eastAsia="Calibri" w:hAnsi="Calibri"/>
          <w:sz w:val="22"/>
          <w:szCs w:val="22"/>
          <w:lang w:eastAsia="en-US"/>
        </w:rPr>
        <w:t xml:space="preserve">CEFI propone un atribución en exclusiva para los órganos de la jurisdicción mercantil, lo </w:t>
      </w:r>
      <w:proofErr w:type="gramStart"/>
      <w:r>
        <w:rPr>
          <w:rFonts w:ascii="Calibri" w:eastAsia="Calibri" w:hAnsi="Calibri"/>
          <w:sz w:val="22"/>
          <w:szCs w:val="22"/>
          <w:lang w:eastAsia="en-US"/>
        </w:rPr>
        <w:t xml:space="preserve">que  </w:t>
      </w:r>
      <w:r w:rsidRPr="004D3440">
        <w:rPr>
          <w:rFonts w:ascii="Calibri" w:eastAsia="Calibri" w:hAnsi="Calibri"/>
          <w:sz w:val="22"/>
          <w:szCs w:val="22"/>
          <w:lang w:eastAsia="en-US"/>
        </w:rPr>
        <w:t>permitiría</w:t>
      </w:r>
      <w:proofErr w:type="gramEnd"/>
      <w:r w:rsidRPr="004D3440">
        <w:rPr>
          <w:rFonts w:ascii="Calibri" w:eastAsia="Calibri" w:hAnsi="Calibri"/>
          <w:sz w:val="22"/>
          <w:szCs w:val="22"/>
          <w:lang w:eastAsia="en-US"/>
        </w:rPr>
        <w:t xml:space="preserve"> una mejor armonización de las reglas de competencia </w:t>
      </w:r>
      <w:r>
        <w:rPr>
          <w:rFonts w:ascii="Calibri" w:eastAsia="Calibri" w:hAnsi="Calibri"/>
          <w:sz w:val="22"/>
          <w:szCs w:val="22"/>
          <w:lang w:eastAsia="en-US"/>
        </w:rPr>
        <w:t>al estar los Juzgados de lo Mercantil más estrechamente vinculados a la materia.</w:t>
      </w:r>
    </w:p>
    <w:p w:rsidR="00FD4610" w:rsidRPr="008A39FD" w:rsidRDefault="00FD4610" w:rsidP="00FD4610">
      <w:pPr>
        <w:ind w:firstLine="720"/>
        <w:jc w:val="both"/>
        <w:rPr>
          <w:rFonts w:ascii="Calibri" w:eastAsia="Calibri" w:hAnsi="Calibri"/>
          <w:sz w:val="22"/>
          <w:szCs w:val="22"/>
          <w:lang w:eastAsia="en-US"/>
        </w:rPr>
      </w:pPr>
    </w:p>
    <w:p w:rsidR="00FD4610" w:rsidRPr="00A818D4"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r w:rsidRPr="00A818D4">
        <w:rPr>
          <w:rFonts w:ascii="Calibri" w:eastAsia="Calibri" w:hAnsi="Calibri"/>
          <w:b/>
          <w:i/>
          <w:sz w:val="22"/>
          <w:szCs w:val="22"/>
          <w:lang w:eastAsia="en-US"/>
        </w:rPr>
        <w:t>“Disposición transitoria única. Régimen transitorio</w:t>
      </w:r>
    </w:p>
    <w:p w:rsidR="00FD4610" w:rsidRPr="00A818D4"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p>
    <w:p w:rsidR="00FD4610" w:rsidRPr="00F41E1C"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r>
        <w:rPr>
          <w:rFonts w:ascii="Calibri" w:eastAsia="Calibri" w:hAnsi="Calibri"/>
          <w:b/>
          <w:i/>
          <w:sz w:val="22"/>
          <w:szCs w:val="22"/>
          <w:lang w:eastAsia="en-US"/>
        </w:rPr>
        <w:t xml:space="preserve">3. </w:t>
      </w:r>
      <w:r w:rsidRPr="005F01CD">
        <w:rPr>
          <w:rFonts w:ascii="Calibri" w:eastAsia="Calibri" w:hAnsi="Calibri"/>
          <w:b/>
          <w:i/>
          <w:sz w:val="22"/>
          <w:szCs w:val="22"/>
          <w:lang w:eastAsia="en-US"/>
        </w:rPr>
        <w:t>Hasta que</w:t>
      </w:r>
      <w:r w:rsidR="00B64139">
        <w:rPr>
          <w:rFonts w:ascii="Calibri" w:eastAsia="Calibri" w:hAnsi="Calibri"/>
          <w:b/>
          <w:i/>
          <w:sz w:val="22"/>
          <w:szCs w:val="22"/>
          <w:lang w:eastAsia="en-US"/>
        </w:rPr>
        <w:t xml:space="preserve">  la</w:t>
      </w:r>
      <w:r w:rsidRPr="005F01CD">
        <w:rPr>
          <w:rFonts w:ascii="Calibri" w:eastAsia="Calibri" w:hAnsi="Calibri"/>
          <w:b/>
          <w:i/>
          <w:sz w:val="22"/>
          <w:szCs w:val="22"/>
          <w:lang w:eastAsia="en-US"/>
        </w:rPr>
        <w:t xml:space="preserve"> Oficina Española de Patentes y Mareas, conforme a lo previsto en el apartado 2 de la disposición adicional primera, en la versión introducida por la presente Ley, y disposición final cuarta, adquiera competencia para declarar la nulidad o caducidad de los signos distintivos regulados en esta Ley, será competente, de forma exclusiva, la jurisdicción civil de acuerdo con lo previsto en el Titulo XII de la Ley 24/2015, de 24 de julio, de Patentes y de conformidad con las disposiciones sustantivas previstas en el título VI de la presente Ley.</w:t>
      </w:r>
      <w:r w:rsidRPr="00A818D4">
        <w:rPr>
          <w:rFonts w:ascii="Calibri" w:eastAsia="Calibri" w:hAnsi="Calibri"/>
          <w:b/>
          <w:i/>
          <w:sz w:val="22"/>
          <w:szCs w:val="22"/>
          <w:lang w:eastAsia="en-US"/>
        </w:rPr>
        <w:t>”</w:t>
      </w:r>
    </w:p>
    <w:p w:rsidR="00FD4610" w:rsidRDefault="00FD4610" w:rsidP="00FD4610"/>
    <w:p w:rsidR="00FD4610" w:rsidRDefault="00FD4610" w:rsidP="00FD4610"/>
    <w:p w:rsidR="00C96B42" w:rsidRDefault="00C96B42" w:rsidP="00C96B42">
      <w:pPr>
        <w:jc w:val="both"/>
        <w:rPr>
          <w:rFonts w:ascii="Calibri" w:eastAsia="Calibri" w:hAnsi="Calibri" w:cs="Calibri"/>
          <w:sz w:val="22"/>
          <w:szCs w:val="22"/>
          <w:lang w:eastAsia="en-US"/>
        </w:rPr>
      </w:pPr>
    </w:p>
    <w:p w:rsidR="00C96B42" w:rsidRDefault="00C96B42" w:rsidP="00C96B42">
      <w:pPr>
        <w:jc w:val="both"/>
        <w:rPr>
          <w:rFonts w:ascii="Calibri" w:eastAsia="Calibri" w:hAnsi="Calibri"/>
          <w:sz w:val="22"/>
          <w:szCs w:val="22"/>
          <w:lang w:eastAsia="en-US"/>
        </w:rPr>
      </w:pPr>
      <w:r>
        <w:rPr>
          <w:rFonts w:ascii="Calibri" w:eastAsia="Calibri" w:hAnsi="Calibri" w:cs="Calibri"/>
          <w:sz w:val="22"/>
          <w:szCs w:val="22"/>
          <w:lang w:eastAsia="en-US"/>
        </w:rPr>
        <w:t xml:space="preserve">CEFI considera que la reforma de la Ley de Marcas 17/2001 es una buena ocasión para que el legislador realice </w:t>
      </w:r>
      <w:proofErr w:type="gramStart"/>
      <w:r>
        <w:rPr>
          <w:rFonts w:ascii="Calibri" w:eastAsia="Calibri" w:hAnsi="Calibri" w:cs="Calibri"/>
          <w:sz w:val="22"/>
          <w:szCs w:val="22"/>
          <w:lang w:eastAsia="en-US"/>
        </w:rPr>
        <w:t>un reflexión</w:t>
      </w:r>
      <w:proofErr w:type="gramEnd"/>
      <w:r>
        <w:rPr>
          <w:rFonts w:ascii="Calibri" w:eastAsia="Calibri" w:hAnsi="Calibri" w:cs="Calibri"/>
          <w:sz w:val="22"/>
          <w:szCs w:val="22"/>
          <w:lang w:eastAsia="en-US"/>
        </w:rPr>
        <w:t xml:space="preserve"> sobre la necesidad de unificar las competencias para resolver sobre la validez de las resoluciones que emanan de la Oficina Española de Patentes y Marcas en los procedimientos de registro ante ella y las competencias para conocer de demandas sobre la caducidad y la nulidad de las marcas y poner ambas competencias en manos de la jurisdicción civil-mercantil.</w:t>
      </w:r>
    </w:p>
    <w:p w:rsidR="00FD4610" w:rsidRDefault="00FD4610" w:rsidP="00FD4610">
      <w:pPr>
        <w:jc w:val="both"/>
        <w:rPr>
          <w:rFonts w:ascii="Calibri" w:eastAsia="Calibri" w:hAnsi="Calibri"/>
          <w:b/>
          <w:sz w:val="22"/>
          <w:szCs w:val="22"/>
          <w:u w:val="single"/>
          <w:lang w:eastAsia="en-US"/>
        </w:rPr>
      </w:pPr>
    </w:p>
    <w:p w:rsidR="00FD4610" w:rsidRPr="00667CE3" w:rsidRDefault="00FD4610" w:rsidP="00FD4610">
      <w:pPr>
        <w:jc w:val="both"/>
        <w:rPr>
          <w:rFonts w:ascii="Calibri" w:eastAsia="Calibri" w:hAnsi="Calibri"/>
          <w:sz w:val="22"/>
          <w:szCs w:val="22"/>
          <w:lang w:eastAsia="en-US"/>
        </w:rPr>
      </w:pPr>
      <w:r w:rsidRPr="00667CE3">
        <w:rPr>
          <w:rFonts w:ascii="Calibri" w:eastAsia="Calibri" w:hAnsi="Calibri"/>
          <w:sz w:val="22"/>
          <w:szCs w:val="22"/>
          <w:lang w:eastAsia="en-US"/>
        </w:rPr>
        <w:t xml:space="preserve">Según el artículo 27 de la Ley de Marcas, que no sufre cambios con el texto del Proyecto, las resoluciones y actos de la División de Recursos de la Oficina Española de Patentes y Marcas, seguirán siendo recurridas ante la jurisdicción contenciosa-administrativa. </w:t>
      </w:r>
    </w:p>
    <w:p w:rsidR="00FD4610" w:rsidRPr="00667CE3" w:rsidRDefault="00FD4610" w:rsidP="00FD4610">
      <w:pPr>
        <w:ind w:firstLine="709"/>
        <w:jc w:val="both"/>
        <w:rPr>
          <w:rFonts w:ascii="Calibri" w:eastAsia="Calibri" w:hAnsi="Calibri"/>
          <w:sz w:val="22"/>
          <w:szCs w:val="22"/>
          <w:lang w:eastAsia="en-US"/>
        </w:rPr>
      </w:pPr>
    </w:p>
    <w:p w:rsidR="00FD4610" w:rsidRPr="00667CE3" w:rsidRDefault="00FD4610" w:rsidP="00FD4610">
      <w:pPr>
        <w:ind w:firstLine="709"/>
        <w:jc w:val="both"/>
        <w:rPr>
          <w:rFonts w:ascii="Calibri" w:eastAsia="Calibri" w:hAnsi="Calibri"/>
          <w:sz w:val="22"/>
          <w:szCs w:val="22"/>
          <w:lang w:eastAsia="en-US"/>
        </w:rPr>
      </w:pPr>
      <w:r w:rsidRPr="00667CE3">
        <w:rPr>
          <w:rFonts w:ascii="Calibri" w:eastAsia="Calibri" w:hAnsi="Calibri"/>
          <w:sz w:val="22"/>
          <w:szCs w:val="22"/>
          <w:lang w:eastAsia="en-US"/>
        </w:rPr>
        <w:t xml:space="preserve">“Artículo 27 Revisión de actos en vía administrativa </w:t>
      </w:r>
    </w:p>
    <w:p w:rsidR="00FD4610" w:rsidRPr="00667CE3" w:rsidRDefault="00FD4610" w:rsidP="00FD4610">
      <w:pPr>
        <w:ind w:firstLine="709"/>
        <w:jc w:val="both"/>
        <w:rPr>
          <w:rFonts w:ascii="Calibri" w:eastAsia="Calibri" w:hAnsi="Calibri"/>
          <w:sz w:val="22"/>
          <w:szCs w:val="22"/>
          <w:lang w:eastAsia="en-US"/>
        </w:rPr>
      </w:pPr>
    </w:p>
    <w:p w:rsidR="00FD4610" w:rsidRPr="00BC5BC6" w:rsidRDefault="00FD4610" w:rsidP="00FD4610">
      <w:pPr>
        <w:ind w:left="708" w:firstLine="1"/>
        <w:jc w:val="both"/>
        <w:rPr>
          <w:rFonts w:ascii="Calibri" w:eastAsia="Calibri" w:hAnsi="Calibri"/>
          <w:sz w:val="22"/>
          <w:szCs w:val="22"/>
          <w:lang w:eastAsia="en-US"/>
        </w:rPr>
      </w:pPr>
      <w:r w:rsidRPr="00BC5BC6">
        <w:rPr>
          <w:rFonts w:ascii="Calibri" w:eastAsia="Calibri" w:hAnsi="Calibri"/>
          <w:sz w:val="22"/>
          <w:szCs w:val="22"/>
          <w:lang w:eastAsia="en-US"/>
        </w:rPr>
        <w:t>1.</w:t>
      </w:r>
      <w:r w:rsidRPr="00BC5BC6">
        <w:rPr>
          <w:rFonts w:ascii="Calibri" w:eastAsia="Calibri" w:hAnsi="Calibri"/>
          <w:sz w:val="22"/>
          <w:szCs w:val="22"/>
          <w:lang w:eastAsia="en-US"/>
        </w:rPr>
        <w:tab/>
      </w:r>
      <w:r w:rsidRPr="00BC5BC6">
        <w:rPr>
          <w:rFonts w:ascii="Calibri" w:eastAsia="Calibri" w:hAnsi="Calibri"/>
          <w:i/>
          <w:sz w:val="22"/>
          <w:szCs w:val="22"/>
          <w:lang w:eastAsia="en-US"/>
        </w:rPr>
        <w:t>Los actos y resoluciones dictados por los órganos de la Oficina Española de Patentes y Marcas serán recurribles de conformidad con lo dispuesto en la Ley 30/1992, de 26 de noviembre, de Régimen Jurídico de las Administraciones Públicas y del Procedimiento Administrativo Común</w:t>
      </w:r>
      <w:r w:rsidRPr="00BC5BC6">
        <w:rPr>
          <w:rFonts w:ascii="Calibri" w:eastAsia="Calibri" w:hAnsi="Calibri"/>
          <w:sz w:val="22"/>
          <w:szCs w:val="22"/>
          <w:lang w:eastAsia="en-US"/>
        </w:rPr>
        <w:t>.”</w:t>
      </w:r>
    </w:p>
    <w:p w:rsidR="00FD4610" w:rsidRDefault="00FD4610" w:rsidP="00FD4610">
      <w:pPr>
        <w:ind w:firstLine="709"/>
        <w:jc w:val="both"/>
        <w:rPr>
          <w:rFonts w:ascii="Calibri" w:eastAsia="Calibri" w:hAnsi="Calibri"/>
          <w:sz w:val="22"/>
          <w:szCs w:val="22"/>
          <w:lang w:eastAsia="en-US"/>
        </w:rPr>
      </w:pPr>
    </w:p>
    <w:p w:rsidR="00FD4610" w:rsidRDefault="00FD4610" w:rsidP="00FD4610">
      <w:pPr>
        <w:ind w:firstLine="709"/>
        <w:jc w:val="both"/>
        <w:rPr>
          <w:rFonts w:ascii="Calibri" w:eastAsia="Calibri" w:hAnsi="Calibri"/>
          <w:sz w:val="22"/>
          <w:szCs w:val="22"/>
          <w:lang w:eastAsia="en-US"/>
        </w:rPr>
      </w:pPr>
      <w:r>
        <w:rPr>
          <w:rFonts w:ascii="Calibri" w:eastAsia="Calibri" w:hAnsi="Calibri"/>
          <w:sz w:val="22"/>
          <w:szCs w:val="22"/>
          <w:lang w:eastAsia="en-US"/>
        </w:rPr>
        <w:t>Según la Disposición Final Única, la referencia que hace el artículo 27 citado a la Ley 30/1992, hay que entenderla hecha a la Ley 39/2015, de 1 de octubre, del Procedimiento Administrativo Común de las Administraciones Públicas.</w:t>
      </w:r>
    </w:p>
    <w:p w:rsidR="00FD4610" w:rsidRDefault="00FD4610" w:rsidP="00F41E1C">
      <w:pPr>
        <w:jc w:val="both"/>
        <w:rPr>
          <w:rFonts w:ascii="Calibri" w:eastAsia="Calibri" w:hAnsi="Calibri"/>
          <w:sz w:val="22"/>
          <w:szCs w:val="22"/>
          <w:lang w:eastAsia="en-US"/>
        </w:rPr>
      </w:pPr>
    </w:p>
    <w:p w:rsidR="00FD4610" w:rsidRDefault="00FD4610" w:rsidP="00FD4610">
      <w:pPr>
        <w:ind w:firstLine="709"/>
        <w:jc w:val="both"/>
        <w:rPr>
          <w:rFonts w:ascii="Calibri" w:eastAsia="Calibri" w:hAnsi="Calibri"/>
          <w:sz w:val="22"/>
          <w:szCs w:val="22"/>
          <w:lang w:eastAsia="en-US"/>
        </w:rPr>
      </w:pPr>
      <w:r>
        <w:rPr>
          <w:rFonts w:ascii="Calibri" w:eastAsia="Calibri" w:hAnsi="Calibri"/>
          <w:sz w:val="22"/>
          <w:szCs w:val="22"/>
          <w:lang w:eastAsia="en-US"/>
        </w:rPr>
        <w:t>Dada la atribución de competencia a la Oficina Española de Patentes y Marcas para resolver solicitudes de caducidad y nulidad de marcas, su revisión por parte de órganos judiciales no especializados en la materia marcaria como las Salas de lo Contencioso-Administrativo de los Tribunales Superiores de Justicia, hará que las sentencias de éstos sean, con toda probabilidad, muy divergentes de las que puedan dictar los órganos judiciales mercantiles, a los que se reconoce también competencia para entender de demandas de caducidad y nulidad de marcas.</w:t>
      </w:r>
      <w:r w:rsidRPr="00BC5BC6">
        <w:rPr>
          <w:rFonts w:ascii="Calibri" w:eastAsia="Calibri" w:hAnsi="Calibri"/>
          <w:sz w:val="22"/>
          <w:szCs w:val="22"/>
          <w:lang w:eastAsia="en-US"/>
        </w:rPr>
        <w:t xml:space="preserve"> </w:t>
      </w:r>
    </w:p>
    <w:p w:rsidR="00FD4610" w:rsidRPr="00667CE3" w:rsidRDefault="00FD4610" w:rsidP="00FD4610">
      <w:pPr>
        <w:ind w:firstLine="709"/>
        <w:jc w:val="both"/>
        <w:rPr>
          <w:rFonts w:ascii="Calibri" w:eastAsia="Calibri" w:hAnsi="Calibri"/>
          <w:sz w:val="22"/>
          <w:szCs w:val="22"/>
          <w:lang w:eastAsia="en-US"/>
        </w:rPr>
      </w:pPr>
    </w:p>
    <w:p w:rsidR="00FD4610" w:rsidRDefault="00FD4610" w:rsidP="00FD4610">
      <w:pPr>
        <w:ind w:firstLine="709"/>
        <w:jc w:val="both"/>
        <w:rPr>
          <w:rFonts w:ascii="Calibri" w:eastAsia="Calibri" w:hAnsi="Calibri"/>
          <w:sz w:val="22"/>
          <w:szCs w:val="22"/>
          <w:lang w:eastAsia="en-US"/>
        </w:rPr>
      </w:pPr>
      <w:r w:rsidRPr="00667CE3">
        <w:rPr>
          <w:rFonts w:ascii="Calibri" w:eastAsia="Calibri" w:hAnsi="Calibri"/>
          <w:sz w:val="22"/>
          <w:szCs w:val="22"/>
          <w:lang w:eastAsia="en-US"/>
        </w:rPr>
        <w:t>Los juzgados y tribunales de lo mercantil</w:t>
      </w:r>
      <w:r w:rsidRPr="00A97D86">
        <w:t xml:space="preserve"> </w:t>
      </w:r>
      <w:r w:rsidRPr="00A97D86">
        <w:rPr>
          <w:rFonts w:ascii="Calibri" w:eastAsia="Calibri" w:hAnsi="Calibri"/>
          <w:sz w:val="22"/>
          <w:szCs w:val="22"/>
          <w:lang w:eastAsia="en-US"/>
        </w:rPr>
        <w:t>cuentan con un</w:t>
      </w:r>
      <w:r>
        <w:rPr>
          <w:rFonts w:ascii="Calibri" w:eastAsia="Calibri" w:hAnsi="Calibri"/>
          <w:sz w:val="22"/>
          <w:szCs w:val="22"/>
          <w:lang w:eastAsia="en-US"/>
        </w:rPr>
        <w:t>a especialización</w:t>
      </w:r>
      <w:r w:rsidRPr="00667CE3">
        <w:rPr>
          <w:rFonts w:ascii="Calibri" w:eastAsia="Calibri" w:hAnsi="Calibri"/>
          <w:sz w:val="22"/>
          <w:szCs w:val="22"/>
          <w:lang w:eastAsia="en-US"/>
        </w:rPr>
        <w:t xml:space="preserve"> en materia de derechos</w:t>
      </w:r>
      <w:r>
        <w:rPr>
          <w:rFonts w:ascii="Calibri" w:eastAsia="Calibri" w:hAnsi="Calibri"/>
          <w:sz w:val="22"/>
          <w:szCs w:val="22"/>
          <w:lang w:eastAsia="en-US"/>
        </w:rPr>
        <w:t xml:space="preserve"> de propiedad industrial desde</w:t>
      </w:r>
      <w:r w:rsidRPr="00667CE3">
        <w:rPr>
          <w:rFonts w:ascii="Calibri" w:eastAsia="Calibri" w:hAnsi="Calibri"/>
          <w:sz w:val="22"/>
          <w:szCs w:val="22"/>
          <w:lang w:eastAsia="en-US"/>
        </w:rPr>
        <w:t xml:space="preserve"> la entrada en vigor de la Ley Orgánica 8/2003 de reforma de la Ley Orgánica del Poder Judicial</w:t>
      </w:r>
      <w:r>
        <w:rPr>
          <w:rFonts w:ascii="Calibri" w:eastAsia="Calibri" w:hAnsi="Calibri"/>
          <w:sz w:val="22"/>
          <w:szCs w:val="22"/>
          <w:lang w:eastAsia="en-US"/>
        </w:rPr>
        <w:t>, cuyo artículo 86 ter.2 a) dispone que:</w:t>
      </w:r>
    </w:p>
    <w:p w:rsidR="00FD4610" w:rsidRPr="005F443B" w:rsidRDefault="00FD4610" w:rsidP="00FD4610">
      <w:pPr>
        <w:shd w:val="clear" w:color="auto" w:fill="FFFFFF"/>
        <w:spacing w:before="100" w:beforeAutospacing="1" w:after="100" w:afterAutospacing="1"/>
        <w:ind w:left="720"/>
        <w:rPr>
          <w:rFonts w:asciiTheme="minorHAnsi" w:hAnsiTheme="minorHAnsi" w:cstheme="minorHAnsi"/>
          <w:i/>
          <w:color w:val="222222"/>
          <w:sz w:val="20"/>
          <w:szCs w:val="20"/>
        </w:rPr>
      </w:pPr>
      <w:r w:rsidRPr="00BC5BC6">
        <w:rPr>
          <w:rFonts w:asciiTheme="minorHAnsi" w:hAnsiTheme="minorHAnsi" w:cstheme="minorHAnsi"/>
          <w:bCs/>
          <w:i/>
          <w:color w:val="222222"/>
          <w:sz w:val="20"/>
          <w:szCs w:val="20"/>
        </w:rPr>
        <w:t xml:space="preserve"> “2. </w:t>
      </w:r>
      <w:r w:rsidRPr="00BC5BC6">
        <w:rPr>
          <w:rFonts w:asciiTheme="minorHAnsi" w:hAnsiTheme="minorHAnsi" w:cstheme="minorHAnsi"/>
          <w:i/>
          <w:color w:val="222222"/>
          <w:sz w:val="20"/>
          <w:szCs w:val="20"/>
        </w:rPr>
        <w:t>Los Juzgados de lo Mercantil conocerán, asimismo, de cuantas cuestiones sean de la competencia del orden jurisdiccional civil, respecto de</w:t>
      </w:r>
    </w:p>
    <w:p w:rsidR="00FD4610" w:rsidRPr="005F443B" w:rsidRDefault="00FD4610" w:rsidP="00FD4610">
      <w:pPr>
        <w:shd w:val="clear" w:color="auto" w:fill="FFFFFF"/>
        <w:spacing w:before="100" w:beforeAutospacing="1"/>
        <w:ind w:left="720"/>
        <w:rPr>
          <w:rFonts w:asciiTheme="minorHAnsi" w:hAnsiTheme="minorHAnsi" w:cstheme="minorHAnsi"/>
          <w:i/>
          <w:color w:val="222222"/>
          <w:sz w:val="20"/>
          <w:szCs w:val="20"/>
        </w:rPr>
      </w:pPr>
      <w:r w:rsidRPr="005F443B">
        <w:rPr>
          <w:rFonts w:asciiTheme="minorHAnsi" w:hAnsiTheme="minorHAnsi" w:cstheme="minorHAnsi"/>
          <w:bCs/>
          <w:i/>
          <w:color w:val="222222"/>
          <w:sz w:val="20"/>
          <w:szCs w:val="20"/>
        </w:rPr>
        <w:t xml:space="preserve">a) </w:t>
      </w:r>
      <w:r w:rsidRPr="005F443B">
        <w:rPr>
          <w:rFonts w:asciiTheme="minorHAnsi" w:hAnsiTheme="minorHAnsi" w:cstheme="minorHAnsi"/>
          <w:i/>
          <w:color w:val="222222"/>
          <w:sz w:val="20"/>
          <w:szCs w:val="20"/>
        </w:rPr>
        <w:t>Las demandas en las que se ejerciten acciones relativas a competencia desleal, propiedad industrial, propiedad intelectual y publicidad, así como todas aquellas cuestiones que dentro de este orden jurisdiccional se promuevan al amparo de la normativa reguladora de las sociedades mercantiles y cooperativas.</w:t>
      </w:r>
    </w:p>
    <w:p w:rsidR="00FD4610" w:rsidRDefault="00FD4610" w:rsidP="00FD4610">
      <w:pPr>
        <w:ind w:firstLine="709"/>
        <w:jc w:val="both"/>
        <w:rPr>
          <w:rFonts w:ascii="Calibri" w:eastAsia="Calibri" w:hAnsi="Calibri"/>
          <w:sz w:val="22"/>
          <w:szCs w:val="22"/>
          <w:lang w:eastAsia="en-US"/>
        </w:rPr>
      </w:pPr>
    </w:p>
    <w:p w:rsidR="00FD4610" w:rsidRPr="00667CE3" w:rsidRDefault="00FD4610" w:rsidP="00FD4610">
      <w:pPr>
        <w:ind w:firstLine="709"/>
        <w:jc w:val="both"/>
        <w:rPr>
          <w:rFonts w:ascii="Calibri" w:eastAsia="Calibri" w:hAnsi="Calibri"/>
          <w:sz w:val="22"/>
          <w:szCs w:val="22"/>
          <w:lang w:eastAsia="en-US"/>
        </w:rPr>
      </w:pPr>
      <w:r w:rsidRPr="00667CE3">
        <w:rPr>
          <w:rFonts w:ascii="Calibri" w:eastAsia="Calibri" w:hAnsi="Calibri"/>
          <w:sz w:val="22"/>
          <w:szCs w:val="22"/>
          <w:lang w:eastAsia="en-US"/>
        </w:rPr>
        <w:t>A lo largo de los años, dichos tribunales han de</w:t>
      </w:r>
      <w:r>
        <w:rPr>
          <w:rFonts w:ascii="Calibri" w:eastAsia="Calibri" w:hAnsi="Calibri"/>
          <w:sz w:val="22"/>
          <w:szCs w:val="22"/>
          <w:lang w:eastAsia="en-US"/>
        </w:rPr>
        <w:t>sarrollado una extensa y detallada</w:t>
      </w:r>
      <w:r w:rsidRPr="00667CE3">
        <w:rPr>
          <w:rFonts w:ascii="Calibri" w:eastAsia="Calibri" w:hAnsi="Calibri"/>
          <w:sz w:val="22"/>
          <w:szCs w:val="22"/>
          <w:lang w:eastAsia="en-US"/>
        </w:rPr>
        <w:t xml:space="preserve"> jurispru</w:t>
      </w:r>
      <w:r>
        <w:rPr>
          <w:rFonts w:ascii="Calibri" w:eastAsia="Calibri" w:hAnsi="Calibri"/>
          <w:sz w:val="22"/>
          <w:szCs w:val="22"/>
          <w:lang w:eastAsia="en-US"/>
        </w:rPr>
        <w:t>dencia en acciones que se reconocen al titular de marca</w:t>
      </w:r>
      <w:r w:rsidRPr="00A97D86">
        <w:rPr>
          <w:rFonts w:ascii="Calibri" w:eastAsia="Calibri" w:hAnsi="Calibri"/>
          <w:sz w:val="22"/>
          <w:szCs w:val="22"/>
          <w:lang w:eastAsia="en-US"/>
        </w:rPr>
        <w:t xml:space="preserve"> </w:t>
      </w:r>
      <w:r>
        <w:rPr>
          <w:rFonts w:ascii="Calibri" w:eastAsia="Calibri" w:hAnsi="Calibri"/>
          <w:sz w:val="22"/>
          <w:szCs w:val="22"/>
          <w:lang w:eastAsia="en-US"/>
        </w:rPr>
        <w:t xml:space="preserve">–como las </w:t>
      </w:r>
      <w:r w:rsidRPr="00A97D86">
        <w:rPr>
          <w:rFonts w:ascii="Calibri" w:eastAsia="Calibri" w:hAnsi="Calibri"/>
          <w:sz w:val="22"/>
          <w:szCs w:val="22"/>
          <w:lang w:eastAsia="en-US"/>
        </w:rPr>
        <w:t>acciones de nulidad y caducidad en vía de reconvención ante la interposición de una demanda por vio</w:t>
      </w:r>
      <w:r>
        <w:rPr>
          <w:rFonts w:ascii="Calibri" w:eastAsia="Calibri" w:hAnsi="Calibri"/>
          <w:sz w:val="22"/>
          <w:szCs w:val="22"/>
          <w:lang w:eastAsia="en-US"/>
        </w:rPr>
        <w:t xml:space="preserve">lación de los derechos de marca-, </w:t>
      </w:r>
      <w:r w:rsidRPr="00667CE3">
        <w:rPr>
          <w:rFonts w:ascii="Calibri" w:eastAsia="Calibri" w:hAnsi="Calibri"/>
          <w:sz w:val="22"/>
          <w:szCs w:val="22"/>
          <w:lang w:eastAsia="en-US"/>
        </w:rPr>
        <w:t xml:space="preserve">mientras que los </w:t>
      </w:r>
      <w:r>
        <w:rPr>
          <w:rFonts w:ascii="Calibri" w:eastAsia="Calibri" w:hAnsi="Calibri"/>
          <w:sz w:val="22"/>
          <w:szCs w:val="22"/>
          <w:lang w:eastAsia="en-US"/>
        </w:rPr>
        <w:t>tribunales de lo contencioso</w:t>
      </w:r>
      <w:r w:rsidRPr="00667CE3">
        <w:rPr>
          <w:rFonts w:ascii="Calibri" w:eastAsia="Calibri" w:hAnsi="Calibri"/>
          <w:sz w:val="22"/>
          <w:szCs w:val="22"/>
          <w:lang w:eastAsia="en-US"/>
        </w:rPr>
        <w:t>-administrativo nunca han conocido de estas acciones</w:t>
      </w:r>
      <w:r>
        <w:rPr>
          <w:rFonts w:ascii="Calibri" w:eastAsia="Calibri" w:hAnsi="Calibri"/>
          <w:sz w:val="22"/>
          <w:szCs w:val="22"/>
          <w:lang w:eastAsia="en-US"/>
        </w:rPr>
        <w:t>, limitándose a resolver recursos contencioso-administrativos relativos a la concesión o no concesión de una marca por la Oficina Española de Patentes y Marcas</w:t>
      </w:r>
      <w:r w:rsidRPr="00667CE3">
        <w:rPr>
          <w:rFonts w:ascii="Calibri" w:eastAsia="Calibri" w:hAnsi="Calibri"/>
          <w:sz w:val="22"/>
          <w:szCs w:val="22"/>
          <w:lang w:eastAsia="en-US"/>
        </w:rPr>
        <w:t xml:space="preserve"> y no han desarrollado jurisprudencia al respecto. </w:t>
      </w:r>
    </w:p>
    <w:p w:rsidR="00FD4610" w:rsidRPr="00667CE3" w:rsidRDefault="00FD4610" w:rsidP="00FD4610">
      <w:pPr>
        <w:ind w:firstLine="709"/>
        <w:jc w:val="both"/>
        <w:rPr>
          <w:rFonts w:ascii="Calibri" w:eastAsia="Calibri" w:hAnsi="Calibri"/>
          <w:sz w:val="22"/>
          <w:szCs w:val="22"/>
          <w:lang w:eastAsia="en-US"/>
        </w:rPr>
      </w:pPr>
    </w:p>
    <w:p w:rsidR="00FD4610" w:rsidRPr="00667CE3" w:rsidRDefault="00FD4610" w:rsidP="00FD4610">
      <w:pPr>
        <w:ind w:firstLine="709"/>
        <w:jc w:val="both"/>
        <w:rPr>
          <w:rFonts w:ascii="Calibri" w:eastAsia="Calibri" w:hAnsi="Calibri"/>
          <w:sz w:val="22"/>
          <w:szCs w:val="22"/>
          <w:lang w:eastAsia="en-US"/>
        </w:rPr>
      </w:pPr>
      <w:r>
        <w:rPr>
          <w:rFonts w:ascii="Calibri" w:eastAsia="Calibri" w:hAnsi="Calibri"/>
          <w:sz w:val="22"/>
          <w:szCs w:val="22"/>
          <w:lang w:eastAsia="en-US"/>
        </w:rPr>
        <w:t>Por su parte</w:t>
      </w:r>
      <w:r w:rsidRPr="00667CE3">
        <w:rPr>
          <w:rFonts w:ascii="Calibri" w:eastAsia="Calibri" w:hAnsi="Calibri"/>
          <w:sz w:val="22"/>
          <w:szCs w:val="22"/>
          <w:lang w:eastAsia="en-US"/>
        </w:rPr>
        <w:t>, litigar ante la jurisdicción cont</w:t>
      </w:r>
      <w:r>
        <w:rPr>
          <w:rFonts w:ascii="Calibri" w:eastAsia="Calibri" w:hAnsi="Calibri"/>
          <w:sz w:val="22"/>
          <w:szCs w:val="22"/>
          <w:lang w:eastAsia="en-US"/>
        </w:rPr>
        <w:t xml:space="preserve">enciosa-administrativa limita </w:t>
      </w:r>
      <w:r w:rsidRPr="00667CE3">
        <w:rPr>
          <w:rFonts w:ascii="Calibri" w:eastAsia="Calibri" w:hAnsi="Calibri"/>
          <w:sz w:val="22"/>
          <w:szCs w:val="22"/>
          <w:lang w:eastAsia="en-US"/>
        </w:rPr>
        <w:t xml:space="preserve">la posibilidad de las partes de practicar la celebración de vistas y prueba necesaria y habitual en este tipo de acciones, no </w:t>
      </w:r>
      <w:proofErr w:type="gramStart"/>
      <w:r w:rsidRPr="00667CE3">
        <w:rPr>
          <w:rFonts w:ascii="Calibri" w:eastAsia="Calibri" w:hAnsi="Calibri"/>
          <w:sz w:val="22"/>
          <w:szCs w:val="22"/>
          <w:lang w:eastAsia="en-US"/>
        </w:rPr>
        <w:t>siendo</w:t>
      </w:r>
      <w:proofErr w:type="gramEnd"/>
      <w:r w:rsidRPr="00667CE3">
        <w:rPr>
          <w:rFonts w:ascii="Calibri" w:eastAsia="Calibri" w:hAnsi="Calibri"/>
          <w:sz w:val="22"/>
          <w:szCs w:val="22"/>
          <w:lang w:eastAsia="en-US"/>
        </w:rPr>
        <w:t xml:space="preserve"> además, en comparación con los juzgados del orden mercantil, tribunales especializados.</w:t>
      </w:r>
    </w:p>
    <w:p w:rsidR="00FD4610" w:rsidRPr="00667CE3" w:rsidRDefault="00FD4610" w:rsidP="00FD4610">
      <w:pPr>
        <w:ind w:firstLine="709"/>
        <w:jc w:val="both"/>
        <w:rPr>
          <w:rFonts w:ascii="Calibri" w:eastAsia="Calibri" w:hAnsi="Calibri"/>
          <w:sz w:val="22"/>
          <w:szCs w:val="22"/>
          <w:lang w:eastAsia="en-US"/>
        </w:rPr>
      </w:pPr>
    </w:p>
    <w:p w:rsidR="00FD4610" w:rsidRPr="00667CE3" w:rsidRDefault="00FD4610" w:rsidP="00FD4610">
      <w:pPr>
        <w:ind w:firstLine="709"/>
        <w:jc w:val="both"/>
        <w:rPr>
          <w:rFonts w:ascii="Calibri" w:eastAsia="Calibri" w:hAnsi="Calibri"/>
          <w:sz w:val="22"/>
          <w:szCs w:val="22"/>
          <w:lang w:eastAsia="en-US"/>
        </w:rPr>
      </w:pPr>
      <w:r>
        <w:rPr>
          <w:rFonts w:ascii="Calibri" w:eastAsia="Calibri" w:hAnsi="Calibri"/>
          <w:sz w:val="22"/>
          <w:szCs w:val="22"/>
          <w:lang w:eastAsia="en-US"/>
        </w:rPr>
        <w:t xml:space="preserve">CEFI </w:t>
      </w:r>
      <w:r w:rsidRPr="00667CE3">
        <w:rPr>
          <w:rFonts w:ascii="Calibri" w:eastAsia="Calibri" w:hAnsi="Calibri"/>
          <w:sz w:val="22"/>
          <w:szCs w:val="22"/>
          <w:lang w:eastAsia="en-US"/>
        </w:rPr>
        <w:t>por tanto considera necesario que para el presente supuesto, el Proyecto de Ley conceda la competencia</w:t>
      </w:r>
      <w:r>
        <w:rPr>
          <w:rFonts w:ascii="Calibri" w:eastAsia="Calibri" w:hAnsi="Calibri"/>
          <w:sz w:val="22"/>
          <w:szCs w:val="22"/>
          <w:lang w:eastAsia="en-US"/>
        </w:rPr>
        <w:t xml:space="preserve"> al orden jurisdiccional mercantil</w:t>
      </w:r>
      <w:r w:rsidRPr="00667CE3">
        <w:rPr>
          <w:rFonts w:ascii="Calibri" w:eastAsia="Calibri" w:hAnsi="Calibri"/>
          <w:sz w:val="22"/>
          <w:szCs w:val="22"/>
          <w:lang w:eastAsia="en-US"/>
        </w:rPr>
        <w:t xml:space="preserve"> para conocer </w:t>
      </w:r>
      <w:r>
        <w:rPr>
          <w:rFonts w:ascii="Calibri" w:eastAsia="Calibri" w:hAnsi="Calibri"/>
          <w:sz w:val="22"/>
          <w:szCs w:val="22"/>
          <w:lang w:eastAsia="en-US"/>
        </w:rPr>
        <w:t>–además de las demandas de nulidad y caducidad de marcas- de los recursos contra resoluciones</w:t>
      </w:r>
      <w:r w:rsidRPr="00667CE3">
        <w:rPr>
          <w:rFonts w:ascii="Calibri" w:eastAsia="Calibri" w:hAnsi="Calibri"/>
          <w:sz w:val="22"/>
          <w:szCs w:val="22"/>
          <w:lang w:eastAsia="en-US"/>
        </w:rPr>
        <w:t xml:space="preserve"> de la Oficina Española de Patentes y Marcas</w:t>
      </w:r>
      <w:r>
        <w:rPr>
          <w:rFonts w:ascii="Calibri" w:eastAsia="Calibri" w:hAnsi="Calibri"/>
          <w:sz w:val="22"/>
          <w:szCs w:val="22"/>
          <w:lang w:eastAsia="en-US"/>
        </w:rPr>
        <w:t>,</w:t>
      </w:r>
      <w:r w:rsidRPr="00667CE3">
        <w:rPr>
          <w:rFonts w:ascii="Calibri" w:eastAsia="Calibri" w:hAnsi="Calibri"/>
          <w:sz w:val="22"/>
          <w:szCs w:val="22"/>
          <w:lang w:eastAsia="en-US"/>
        </w:rPr>
        <w:t xml:space="preserve"> </w:t>
      </w:r>
      <w:r>
        <w:rPr>
          <w:rFonts w:ascii="Calibri" w:eastAsia="Calibri" w:hAnsi="Calibri"/>
          <w:sz w:val="22"/>
          <w:szCs w:val="22"/>
          <w:lang w:eastAsia="en-US"/>
        </w:rPr>
        <w:t>por las que se conceden derechos o se deniegan solicitudes de derechos</w:t>
      </w:r>
      <w:r w:rsidRPr="00667CE3">
        <w:rPr>
          <w:rFonts w:ascii="Calibri" w:eastAsia="Calibri" w:hAnsi="Calibri"/>
          <w:sz w:val="22"/>
          <w:szCs w:val="22"/>
          <w:lang w:eastAsia="en-US"/>
        </w:rPr>
        <w:t>, pues no hay órganos judiciales con mayor experiencia para abordar el estudio y resolución de las cuestiones jurídicas relat</w:t>
      </w:r>
      <w:r>
        <w:rPr>
          <w:rFonts w:ascii="Calibri" w:eastAsia="Calibri" w:hAnsi="Calibri"/>
          <w:sz w:val="22"/>
          <w:szCs w:val="22"/>
          <w:lang w:eastAsia="en-US"/>
        </w:rPr>
        <w:t>ivas a la propiedad industrial -</w:t>
      </w:r>
      <w:r w:rsidRPr="00667CE3">
        <w:rPr>
          <w:rFonts w:ascii="Calibri" w:eastAsia="Calibri" w:hAnsi="Calibri"/>
          <w:sz w:val="22"/>
          <w:szCs w:val="22"/>
          <w:lang w:eastAsia="en-US"/>
        </w:rPr>
        <w:t>y en concreto los títulos de marcas o las cuestiones de solicitudes de nulidad o caducidad</w:t>
      </w:r>
      <w:r>
        <w:rPr>
          <w:rFonts w:ascii="Calibri" w:eastAsia="Calibri" w:hAnsi="Calibri"/>
          <w:sz w:val="22"/>
          <w:szCs w:val="22"/>
          <w:lang w:eastAsia="en-US"/>
        </w:rPr>
        <w:t>-</w:t>
      </w:r>
      <w:r w:rsidRPr="00667CE3">
        <w:rPr>
          <w:rFonts w:ascii="Calibri" w:eastAsia="Calibri" w:hAnsi="Calibri"/>
          <w:sz w:val="22"/>
          <w:szCs w:val="22"/>
          <w:lang w:eastAsia="en-US"/>
        </w:rPr>
        <w:t>, que los Tribunales mercantiles. La Ley Orgánica 8/2003 de reforma de la Ley Orgánica del Poder Judicial, concedió a dichos tribunales mercantiles la competencia para conocer de estas cuestiones, y por tanto deben ser ellos quien ejerzan una tutela judicial efectiva, asegurando además un proceso con todas las garantías gracias a su amplia experiencia al respecto en este tipo de asuntos.</w:t>
      </w:r>
    </w:p>
    <w:p w:rsidR="00FD4610" w:rsidRPr="00667CE3" w:rsidRDefault="00FD4610" w:rsidP="00FD4610">
      <w:pPr>
        <w:ind w:firstLine="709"/>
        <w:jc w:val="both"/>
        <w:rPr>
          <w:rFonts w:ascii="Calibri" w:eastAsia="Calibri" w:hAnsi="Calibri"/>
          <w:sz w:val="22"/>
          <w:szCs w:val="22"/>
          <w:lang w:eastAsia="en-US"/>
        </w:rPr>
      </w:pPr>
    </w:p>
    <w:p w:rsidR="00FD4610" w:rsidRDefault="00FD4610" w:rsidP="00FD4610">
      <w:pPr>
        <w:ind w:firstLine="709"/>
        <w:jc w:val="both"/>
        <w:rPr>
          <w:rFonts w:ascii="Calibri" w:eastAsia="Calibri" w:hAnsi="Calibri"/>
          <w:sz w:val="22"/>
          <w:szCs w:val="22"/>
          <w:lang w:eastAsia="en-US"/>
        </w:rPr>
      </w:pPr>
      <w:r w:rsidRPr="00667CE3">
        <w:rPr>
          <w:rFonts w:ascii="Calibri" w:eastAsia="Calibri" w:hAnsi="Calibri"/>
          <w:sz w:val="22"/>
          <w:szCs w:val="22"/>
          <w:lang w:eastAsia="en-US"/>
        </w:rPr>
        <w:t>Existe un precedente c</w:t>
      </w:r>
      <w:r>
        <w:rPr>
          <w:rFonts w:ascii="Calibri" w:eastAsia="Calibri" w:hAnsi="Calibri"/>
          <w:sz w:val="22"/>
          <w:szCs w:val="22"/>
          <w:lang w:eastAsia="en-US"/>
        </w:rPr>
        <w:t xml:space="preserve">onocido en nuestra legislación: </w:t>
      </w:r>
      <w:r w:rsidRPr="00667CE3">
        <w:rPr>
          <w:rFonts w:ascii="Calibri" w:eastAsia="Calibri" w:hAnsi="Calibri"/>
          <w:sz w:val="22"/>
          <w:szCs w:val="22"/>
          <w:lang w:eastAsia="en-US"/>
        </w:rPr>
        <w:t xml:space="preserve">los recursos contra las calificaciones registrales y las resoluciones dictadas por la Dirección General de Registros y del Notariado, que son susceptibles de ser revisadas en vía civil ante los tribunales de este orden, como indican en concreto los artículos 324 y 328 de la Ley Hipotecaria. En este sentido, el legislador optó por eludir la vía contenciosa-administrativa y trasladar la oportunidad de revisar las resoluciones del órgano administrativo al orden civil por </w:t>
      </w:r>
      <w:r>
        <w:rPr>
          <w:rFonts w:ascii="Calibri" w:eastAsia="Calibri" w:hAnsi="Calibri"/>
          <w:sz w:val="22"/>
          <w:szCs w:val="22"/>
          <w:lang w:eastAsia="en-US"/>
        </w:rPr>
        <w:t xml:space="preserve">entender que éste contaba con </w:t>
      </w:r>
      <w:r w:rsidRPr="00667CE3">
        <w:rPr>
          <w:rFonts w:ascii="Calibri" w:eastAsia="Calibri" w:hAnsi="Calibri"/>
          <w:sz w:val="22"/>
          <w:szCs w:val="22"/>
          <w:lang w:eastAsia="en-US"/>
        </w:rPr>
        <w:t>una mayor especialización. Este antecedente puede ser aprovechado por el Proyecto de Ley de reforma de</w:t>
      </w:r>
      <w:r>
        <w:rPr>
          <w:rFonts w:ascii="Calibri" w:eastAsia="Calibri" w:hAnsi="Calibri"/>
          <w:sz w:val="22"/>
          <w:szCs w:val="22"/>
          <w:lang w:eastAsia="en-US"/>
        </w:rPr>
        <w:t xml:space="preserve"> la Ley de Marcas 17/2001 para atribuir a los tribunales del orden civil con competencia en materia mercantil el conocimiento no sólo de la revisión jurisdiccional de las resoluciones de la OEPM en el ejercicio de acciones directas de nulidad o caducidad de las marcas, sino también de las resoluciones recaídas en procedimientos de registro.</w:t>
      </w:r>
    </w:p>
    <w:p w:rsidR="00FD4610" w:rsidRDefault="00FD4610" w:rsidP="00FD4610">
      <w:pPr>
        <w:ind w:firstLine="709"/>
        <w:jc w:val="both"/>
        <w:rPr>
          <w:rFonts w:ascii="Calibri" w:eastAsia="Calibri" w:hAnsi="Calibri"/>
          <w:sz w:val="22"/>
          <w:szCs w:val="22"/>
          <w:lang w:eastAsia="en-US"/>
        </w:rPr>
      </w:pPr>
    </w:p>
    <w:p w:rsidR="00FD4610" w:rsidRDefault="00FD4610" w:rsidP="00F41E1C">
      <w:pPr>
        <w:jc w:val="both"/>
        <w:rPr>
          <w:rFonts w:ascii="Calibri" w:eastAsia="Calibri" w:hAnsi="Calibri"/>
          <w:sz w:val="22"/>
          <w:szCs w:val="22"/>
          <w:lang w:eastAsia="en-US"/>
        </w:rPr>
      </w:pPr>
      <w:r>
        <w:rPr>
          <w:rFonts w:ascii="Calibri" w:eastAsia="Calibri" w:hAnsi="Calibri"/>
          <w:sz w:val="22"/>
          <w:szCs w:val="22"/>
          <w:lang w:eastAsia="en-US"/>
        </w:rPr>
        <w:t>Al margen de esa atribución de competencias a los tribunales del orden civil-mercantil, quedarían los meros actos administrativos de la Oficina Española de Patentes y Marcas, distintos de la</w:t>
      </w:r>
      <w:r w:rsidR="0016442D">
        <w:rPr>
          <w:rFonts w:ascii="Calibri" w:eastAsia="Calibri" w:hAnsi="Calibri"/>
          <w:sz w:val="22"/>
          <w:szCs w:val="22"/>
          <w:lang w:eastAsia="en-US"/>
        </w:rPr>
        <w:t>s</w:t>
      </w:r>
      <w:r>
        <w:rPr>
          <w:rFonts w:ascii="Calibri" w:eastAsia="Calibri" w:hAnsi="Calibri"/>
          <w:sz w:val="22"/>
          <w:szCs w:val="22"/>
          <w:lang w:eastAsia="en-US"/>
        </w:rPr>
        <w:t xml:space="preserve"> resoluciones por las que se conceden derechos de marcas o se deniegan solicitudes de marcas, que, por su carácter administrativo tiene todo el sentido que la competencia la retengan las salas de lo Contencioso-Administrativo de los Tribunales Superiores de Justicia.</w:t>
      </w:r>
    </w:p>
    <w:p w:rsidR="00FD4610" w:rsidRDefault="00FD4610" w:rsidP="00FD4610">
      <w:pPr>
        <w:ind w:firstLine="709"/>
        <w:jc w:val="both"/>
        <w:rPr>
          <w:rFonts w:ascii="Calibri" w:eastAsia="Calibri" w:hAnsi="Calibri"/>
          <w:sz w:val="22"/>
          <w:szCs w:val="22"/>
          <w:lang w:eastAsia="en-US"/>
        </w:rPr>
      </w:pPr>
    </w:p>
    <w:p w:rsidR="00FD4610" w:rsidRDefault="00FD4610" w:rsidP="00F41E1C">
      <w:pPr>
        <w:jc w:val="both"/>
        <w:rPr>
          <w:rFonts w:ascii="Calibri" w:eastAsia="Calibri" w:hAnsi="Calibri"/>
          <w:sz w:val="22"/>
          <w:szCs w:val="22"/>
          <w:lang w:eastAsia="en-US"/>
        </w:rPr>
      </w:pPr>
      <w:r>
        <w:rPr>
          <w:rFonts w:ascii="Calibri" w:eastAsia="Calibri" w:hAnsi="Calibri"/>
          <w:sz w:val="22"/>
          <w:szCs w:val="22"/>
          <w:lang w:eastAsia="en-US"/>
        </w:rPr>
        <w:t>Por tanto, plantea</w:t>
      </w:r>
      <w:r w:rsidR="00F41E1C">
        <w:rPr>
          <w:rFonts w:ascii="Calibri" w:eastAsia="Calibri" w:hAnsi="Calibri"/>
          <w:sz w:val="22"/>
          <w:szCs w:val="22"/>
          <w:lang w:eastAsia="en-US"/>
        </w:rPr>
        <w:t>mos</w:t>
      </w:r>
      <w:r>
        <w:rPr>
          <w:rFonts w:ascii="Calibri" w:eastAsia="Calibri" w:hAnsi="Calibri"/>
          <w:sz w:val="22"/>
          <w:szCs w:val="22"/>
          <w:lang w:eastAsia="en-US"/>
        </w:rPr>
        <w:t xml:space="preserve"> la necesidad de modificar el artículo 27 de la Ley 17/2001, de Marcas, el cual no ha sido incluido entre los artículos que merecen reforma según el Proyecto de Ley de Reforma de la Ley 17/2001, de Marcas </w:t>
      </w:r>
    </w:p>
    <w:p w:rsidR="00FD4610" w:rsidRPr="008A39FD" w:rsidRDefault="00FD4610" w:rsidP="00FD4610">
      <w:pPr>
        <w:ind w:firstLine="720"/>
        <w:jc w:val="both"/>
        <w:rPr>
          <w:rFonts w:ascii="Calibri" w:eastAsia="Calibri" w:hAnsi="Calibri"/>
          <w:sz w:val="22"/>
          <w:szCs w:val="22"/>
          <w:lang w:eastAsia="en-US"/>
        </w:rPr>
      </w:pPr>
    </w:p>
    <w:p w:rsidR="00FD4610" w:rsidRPr="00A818D4"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r>
        <w:rPr>
          <w:rFonts w:ascii="Calibri" w:eastAsia="Calibri" w:hAnsi="Calibri"/>
          <w:b/>
          <w:i/>
          <w:sz w:val="22"/>
          <w:szCs w:val="22"/>
          <w:lang w:eastAsia="en-US"/>
        </w:rPr>
        <w:t>“Revisión de actos y resoluciones de la Oficina Española de Patentes y Marcas.</w:t>
      </w:r>
    </w:p>
    <w:p w:rsidR="00FD4610" w:rsidRPr="00A20699"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p>
    <w:p w:rsidR="00FD4610" w:rsidRDefault="00FD4610" w:rsidP="00F41E1C">
      <w:pPr>
        <w:pStyle w:val="Prrafodelista"/>
        <w:numPr>
          <w:ilvl w:val="0"/>
          <w:numId w:val="1"/>
        </w:numPr>
        <w:pBdr>
          <w:top w:val="single" w:sz="4" w:space="1" w:color="auto"/>
          <w:left w:val="single" w:sz="4" w:space="4" w:color="auto"/>
          <w:bottom w:val="single" w:sz="4" w:space="1" w:color="auto"/>
          <w:right w:val="single" w:sz="4" w:space="4" w:color="auto"/>
        </w:pBdr>
        <w:shd w:val="clear" w:color="auto" w:fill="00B0F0"/>
        <w:ind w:right="584"/>
        <w:jc w:val="both"/>
        <w:rPr>
          <w:rFonts w:ascii="Calibri" w:eastAsia="Calibri" w:hAnsi="Calibri"/>
          <w:b/>
          <w:i/>
          <w:sz w:val="22"/>
          <w:szCs w:val="22"/>
          <w:lang w:eastAsia="en-US"/>
        </w:rPr>
      </w:pPr>
      <w:r>
        <w:rPr>
          <w:rFonts w:ascii="Calibri" w:eastAsia="Calibri" w:hAnsi="Calibri"/>
          <w:b/>
          <w:i/>
          <w:sz w:val="22"/>
          <w:szCs w:val="22"/>
          <w:lang w:eastAsia="en-US"/>
        </w:rPr>
        <w:t>Los actos dictados por los órganos de la Oficina Española de Patentes y Marcas serán recurribles de conformidad con lo dispuesto en la Ley 39/2015, de 1 de octubre, del Procedimiento Administrativo Común de las Administraciones Públicas.</w:t>
      </w:r>
    </w:p>
    <w:p w:rsidR="00FD4610" w:rsidRPr="00B72184"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p>
    <w:p w:rsidR="00FD4610" w:rsidRPr="005F443B" w:rsidRDefault="00FD4610" w:rsidP="00F41E1C">
      <w:pPr>
        <w:pStyle w:val="Prrafodelista"/>
        <w:numPr>
          <w:ilvl w:val="0"/>
          <w:numId w:val="1"/>
        </w:numPr>
        <w:pBdr>
          <w:top w:val="single" w:sz="4" w:space="1" w:color="auto"/>
          <w:left w:val="single" w:sz="4" w:space="4" w:color="auto"/>
          <w:bottom w:val="single" w:sz="4" w:space="1" w:color="auto"/>
          <w:right w:val="single" w:sz="4" w:space="4" w:color="auto"/>
        </w:pBdr>
        <w:shd w:val="clear" w:color="auto" w:fill="00B0F0"/>
        <w:ind w:right="584"/>
        <w:jc w:val="both"/>
        <w:rPr>
          <w:rFonts w:ascii="Calibri" w:eastAsia="Calibri" w:hAnsi="Calibri"/>
          <w:b/>
          <w:i/>
          <w:sz w:val="22"/>
          <w:szCs w:val="22"/>
          <w:lang w:eastAsia="en-US"/>
        </w:rPr>
      </w:pPr>
      <w:r>
        <w:rPr>
          <w:rFonts w:ascii="Calibri" w:eastAsia="Calibri" w:hAnsi="Calibri"/>
          <w:b/>
          <w:i/>
          <w:sz w:val="22"/>
          <w:szCs w:val="22"/>
          <w:lang w:eastAsia="en-US"/>
        </w:rPr>
        <w:t>Las resoluciones recaídas en los procedimientos de registros</w:t>
      </w:r>
      <w:r w:rsidRPr="005F443B">
        <w:rPr>
          <w:rFonts w:ascii="Calibri" w:eastAsia="Calibri" w:hAnsi="Calibri"/>
          <w:b/>
          <w:i/>
          <w:sz w:val="22"/>
          <w:szCs w:val="22"/>
          <w:lang w:eastAsia="en-US"/>
        </w:rPr>
        <w:t xml:space="preserve"> por l</w:t>
      </w:r>
      <w:r>
        <w:rPr>
          <w:rFonts w:ascii="Calibri" w:eastAsia="Calibri" w:hAnsi="Calibri"/>
          <w:b/>
          <w:i/>
          <w:sz w:val="22"/>
          <w:szCs w:val="22"/>
          <w:lang w:eastAsia="en-US"/>
        </w:rPr>
        <w:t>a</w:t>
      </w:r>
      <w:r w:rsidRPr="005F443B">
        <w:rPr>
          <w:rFonts w:ascii="Calibri" w:eastAsia="Calibri" w:hAnsi="Calibri"/>
          <w:b/>
          <w:i/>
          <w:sz w:val="22"/>
          <w:szCs w:val="22"/>
          <w:lang w:eastAsia="en-US"/>
        </w:rPr>
        <w:t xml:space="preserve"> Oficina Española de Patentes y Marcas serán recurribles de conformidad con lo dispuesto en la Ley Orgánica 6/1985, del Poder Judicial.</w:t>
      </w:r>
    </w:p>
    <w:p w:rsidR="00FD4610" w:rsidRPr="00A20699"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r w:rsidRPr="00A20699">
        <w:rPr>
          <w:rFonts w:ascii="Calibri" w:eastAsia="Calibri" w:hAnsi="Calibri"/>
          <w:b/>
          <w:i/>
          <w:sz w:val="22"/>
          <w:szCs w:val="22"/>
          <w:lang w:eastAsia="en-US"/>
        </w:rPr>
        <w:t xml:space="preserve"> </w:t>
      </w:r>
    </w:p>
    <w:p w:rsidR="00FD4610" w:rsidRPr="00B72184" w:rsidRDefault="00FD4610" w:rsidP="00F41E1C">
      <w:pPr>
        <w:pStyle w:val="Prrafodelista"/>
        <w:numPr>
          <w:ilvl w:val="0"/>
          <w:numId w:val="1"/>
        </w:numPr>
        <w:pBdr>
          <w:top w:val="single" w:sz="4" w:space="1" w:color="auto"/>
          <w:left w:val="single" w:sz="4" w:space="4" w:color="auto"/>
          <w:bottom w:val="single" w:sz="4" w:space="1" w:color="auto"/>
          <w:right w:val="single" w:sz="4" w:space="4" w:color="auto"/>
        </w:pBdr>
        <w:shd w:val="clear" w:color="auto" w:fill="00B0F0"/>
        <w:ind w:right="584"/>
        <w:jc w:val="both"/>
        <w:rPr>
          <w:rFonts w:ascii="Calibri" w:eastAsia="Calibri" w:hAnsi="Calibri"/>
          <w:b/>
          <w:i/>
          <w:sz w:val="22"/>
          <w:szCs w:val="22"/>
          <w:lang w:eastAsia="en-US"/>
        </w:rPr>
      </w:pPr>
      <w:r w:rsidRPr="00B72184">
        <w:rPr>
          <w:rFonts w:ascii="Calibri" w:eastAsia="Calibri" w:hAnsi="Calibri"/>
          <w:b/>
          <w:i/>
          <w:sz w:val="22"/>
          <w:szCs w:val="22"/>
          <w:lang w:eastAsia="en-US"/>
        </w:rPr>
        <w:t xml:space="preserve"> La interposición de un recurso ante un acto administrativo dará lugar al pago de la tasa de recurso. No se procederá a la devolución de la tasa salvo cuando el recurso fuera totalmente estimado al acogerse razones jurídicas que, indebidamente apreciadas en la resolución, fueran imputables a la Oficina Española de Patentes y Marcas. La devolución de la tasa deberá ser solicitada al interponerse el recurso y será acordada en la resolución </w:t>
      </w:r>
      <w:proofErr w:type="gramStart"/>
      <w:r w:rsidRPr="00B72184">
        <w:rPr>
          <w:rFonts w:ascii="Calibri" w:eastAsia="Calibri" w:hAnsi="Calibri"/>
          <w:b/>
          <w:i/>
          <w:sz w:val="22"/>
          <w:szCs w:val="22"/>
          <w:lang w:eastAsia="en-US"/>
        </w:rPr>
        <w:t>del mismo</w:t>
      </w:r>
      <w:proofErr w:type="gramEnd"/>
      <w:r w:rsidRPr="00B72184">
        <w:rPr>
          <w:rFonts w:ascii="Calibri" w:eastAsia="Calibri" w:hAnsi="Calibri"/>
          <w:b/>
          <w:i/>
          <w:sz w:val="22"/>
          <w:szCs w:val="22"/>
          <w:lang w:eastAsia="en-US"/>
        </w:rPr>
        <w:t>.</w:t>
      </w:r>
    </w:p>
    <w:p w:rsidR="00FD4610" w:rsidRPr="00A20699"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r w:rsidRPr="00A20699">
        <w:rPr>
          <w:rFonts w:ascii="Calibri" w:eastAsia="Calibri" w:hAnsi="Calibri"/>
          <w:b/>
          <w:i/>
          <w:sz w:val="22"/>
          <w:szCs w:val="22"/>
          <w:lang w:eastAsia="en-US"/>
        </w:rPr>
        <w:t xml:space="preserve"> </w:t>
      </w:r>
    </w:p>
    <w:p w:rsidR="00FD4610" w:rsidRPr="00B72184" w:rsidRDefault="00FD4610" w:rsidP="00F41E1C">
      <w:pPr>
        <w:pStyle w:val="Prrafodelista"/>
        <w:numPr>
          <w:ilvl w:val="0"/>
          <w:numId w:val="1"/>
        </w:numPr>
        <w:pBdr>
          <w:top w:val="single" w:sz="4" w:space="1" w:color="auto"/>
          <w:left w:val="single" w:sz="4" w:space="4" w:color="auto"/>
          <w:bottom w:val="single" w:sz="4" w:space="1" w:color="auto"/>
          <w:right w:val="single" w:sz="4" w:space="4" w:color="auto"/>
        </w:pBdr>
        <w:shd w:val="clear" w:color="auto" w:fill="00B0F0"/>
        <w:ind w:right="584"/>
        <w:jc w:val="both"/>
        <w:rPr>
          <w:rFonts w:ascii="Calibri" w:eastAsia="Calibri" w:hAnsi="Calibri"/>
          <w:b/>
          <w:i/>
          <w:sz w:val="22"/>
          <w:szCs w:val="22"/>
          <w:lang w:eastAsia="en-US"/>
        </w:rPr>
      </w:pPr>
      <w:r w:rsidRPr="00B72184">
        <w:rPr>
          <w:rFonts w:ascii="Calibri" w:eastAsia="Calibri" w:hAnsi="Calibri"/>
          <w:b/>
          <w:i/>
          <w:sz w:val="22"/>
          <w:szCs w:val="22"/>
          <w:lang w:eastAsia="en-US"/>
        </w:rPr>
        <w:t xml:space="preserve"> Los actos y resoluciones dictados, en virtud de sus facultades, por los órganos competentes de las Comunidades Autónomas, serán recurribles con suje</w:t>
      </w:r>
      <w:r>
        <w:rPr>
          <w:rFonts w:ascii="Calibri" w:eastAsia="Calibri" w:hAnsi="Calibri"/>
          <w:b/>
          <w:i/>
          <w:sz w:val="22"/>
          <w:szCs w:val="22"/>
          <w:lang w:eastAsia="en-US"/>
        </w:rPr>
        <w:t>ción a lo dispuesto en la Ley 39/2015</w:t>
      </w:r>
      <w:r w:rsidRPr="00B72184">
        <w:rPr>
          <w:rFonts w:ascii="Calibri" w:eastAsia="Calibri" w:hAnsi="Calibri"/>
          <w:b/>
          <w:i/>
          <w:sz w:val="22"/>
          <w:szCs w:val="22"/>
          <w:lang w:eastAsia="en-US"/>
        </w:rPr>
        <w:t>, d</w:t>
      </w:r>
      <w:r>
        <w:rPr>
          <w:rFonts w:ascii="Calibri" w:eastAsia="Calibri" w:hAnsi="Calibri"/>
          <w:b/>
          <w:i/>
          <w:sz w:val="22"/>
          <w:szCs w:val="22"/>
          <w:lang w:eastAsia="en-US"/>
        </w:rPr>
        <w:t>e</w:t>
      </w:r>
      <w:r w:rsidRPr="001E3CDC">
        <w:rPr>
          <w:rFonts w:ascii="Calibri" w:eastAsia="Calibri" w:hAnsi="Calibri"/>
          <w:b/>
          <w:i/>
          <w:sz w:val="22"/>
          <w:szCs w:val="22"/>
          <w:lang w:eastAsia="en-US"/>
        </w:rPr>
        <w:t xml:space="preserve"> </w:t>
      </w:r>
      <w:proofErr w:type="spellStart"/>
      <w:r>
        <w:rPr>
          <w:rFonts w:ascii="Calibri" w:eastAsia="Calibri" w:hAnsi="Calibri"/>
          <w:b/>
          <w:i/>
          <w:sz w:val="22"/>
          <w:szCs w:val="22"/>
          <w:lang w:eastAsia="en-US"/>
        </w:rPr>
        <w:t>de</w:t>
      </w:r>
      <w:proofErr w:type="spellEnd"/>
      <w:r>
        <w:rPr>
          <w:rFonts w:ascii="Calibri" w:eastAsia="Calibri" w:hAnsi="Calibri"/>
          <w:b/>
          <w:i/>
          <w:sz w:val="22"/>
          <w:szCs w:val="22"/>
          <w:lang w:eastAsia="en-US"/>
        </w:rPr>
        <w:t xml:space="preserve"> 1 de octubre, del Procedimiento Administrativo Común de las Administraciones Públicas</w:t>
      </w:r>
      <w:r w:rsidRPr="00B72184">
        <w:rPr>
          <w:rFonts w:ascii="Calibri" w:eastAsia="Calibri" w:hAnsi="Calibri"/>
          <w:b/>
          <w:i/>
          <w:sz w:val="22"/>
          <w:szCs w:val="22"/>
          <w:lang w:eastAsia="en-US"/>
        </w:rPr>
        <w:t>, así como en las normas orgánicas que rijan para los respectivos órganos.</w:t>
      </w:r>
    </w:p>
    <w:p w:rsidR="00FD4610" w:rsidRPr="00A20699" w:rsidRDefault="00FD4610" w:rsidP="00F41E1C">
      <w:pPr>
        <w:pBdr>
          <w:top w:val="single" w:sz="4" w:space="1" w:color="auto"/>
          <w:left w:val="single" w:sz="4" w:space="4" w:color="auto"/>
          <w:bottom w:val="single" w:sz="4" w:space="1" w:color="auto"/>
          <w:right w:val="single" w:sz="4" w:space="4" w:color="auto"/>
        </w:pBdr>
        <w:shd w:val="clear" w:color="auto" w:fill="00B0F0"/>
        <w:ind w:left="720" w:right="584"/>
        <w:jc w:val="both"/>
        <w:rPr>
          <w:rFonts w:ascii="Calibri" w:eastAsia="Calibri" w:hAnsi="Calibri"/>
          <w:b/>
          <w:i/>
          <w:sz w:val="22"/>
          <w:szCs w:val="22"/>
          <w:lang w:eastAsia="en-US"/>
        </w:rPr>
      </w:pPr>
      <w:r w:rsidRPr="00A20699">
        <w:rPr>
          <w:rFonts w:ascii="Calibri" w:eastAsia="Calibri" w:hAnsi="Calibri"/>
          <w:b/>
          <w:i/>
          <w:sz w:val="22"/>
          <w:szCs w:val="22"/>
          <w:lang w:eastAsia="en-US"/>
        </w:rPr>
        <w:t xml:space="preserve">   </w:t>
      </w:r>
    </w:p>
    <w:p w:rsidR="00FD4610" w:rsidRDefault="00FD4610" w:rsidP="00FD4610"/>
    <w:sectPr w:rsidR="00FD4610">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6235" w:rsidRDefault="004E6235" w:rsidP="00C441C3">
      <w:r>
        <w:separator/>
      </w:r>
    </w:p>
  </w:endnote>
  <w:endnote w:type="continuationSeparator" w:id="0">
    <w:p w:rsidR="004E6235" w:rsidRDefault="004E6235" w:rsidP="00C441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41C3" w:rsidRDefault="00C441C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8857507"/>
      <w:docPartObj>
        <w:docPartGallery w:val="Page Numbers (Bottom of Page)"/>
        <w:docPartUnique/>
      </w:docPartObj>
    </w:sdtPr>
    <w:sdtEndPr/>
    <w:sdtContent>
      <w:p w:rsidR="00C441C3" w:rsidRDefault="00C441C3">
        <w:pPr>
          <w:pStyle w:val="Piedepgina"/>
          <w:jc w:val="right"/>
        </w:pPr>
        <w:r>
          <w:fldChar w:fldCharType="begin"/>
        </w:r>
        <w:r>
          <w:instrText>PAGE   \* MERGEFORMAT</w:instrText>
        </w:r>
        <w:r>
          <w:fldChar w:fldCharType="separate"/>
        </w:r>
        <w:r>
          <w:t>2</w:t>
        </w:r>
        <w:r>
          <w:fldChar w:fldCharType="end"/>
        </w:r>
      </w:p>
    </w:sdtContent>
  </w:sdt>
  <w:p w:rsidR="00C441C3" w:rsidRDefault="00C441C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41C3" w:rsidRDefault="00C441C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6235" w:rsidRDefault="004E6235" w:rsidP="00C441C3">
      <w:r>
        <w:separator/>
      </w:r>
    </w:p>
  </w:footnote>
  <w:footnote w:type="continuationSeparator" w:id="0">
    <w:p w:rsidR="004E6235" w:rsidRDefault="004E6235" w:rsidP="00C441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41C3" w:rsidRDefault="00C441C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46DE" w:rsidRDefault="007746DE">
    <w:pPr>
      <w:pStyle w:val="Encabezado"/>
    </w:pPr>
  </w:p>
  <w:p w:rsidR="00C441C3" w:rsidRDefault="007C3B3B">
    <w:pPr>
      <w:pStyle w:val="Encabezado"/>
    </w:pPr>
    <w:r>
      <w:rPr>
        <w:noProof/>
      </w:rPr>
      <w:fldChar w:fldCharType="begin"/>
    </w:r>
    <w:r>
      <w:rPr>
        <w:noProof/>
      </w:rPr>
      <w:instrText xml:space="preserve"> INCLUDEPICTURE  "cid:CF208608-A708-48B6-8978-98B229C9ED9D" \* MERGEFORMATINET </w:instrText>
    </w:r>
    <w:r>
      <w:rPr>
        <w:noProof/>
      </w:rPr>
      <w:fldChar w:fldCharType="separate"/>
    </w:r>
    <w:r w:rsidR="004E6235">
      <w:rPr>
        <w:noProof/>
      </w:rPr>
      <w:fldChar w:fldCharType="begin"/>
    </w:r>
    <w:r w:rsidR="004E6235">
      <w:rPr>
        <w:noProof/>
      </w:rPr>
      <w:instrText xml:space="preserve"> INCLUDEPICTURE  "cid:CF208608-A708-48B6-8978-98B229C9ED9D" \* MERGEFORMATINET </w:instrText>
    </w:r>
    <w:r w:rsidR="004E6235">
      <w:rPr>
        <w:noProof/>
      </w:rPr>
      <w:fldChar w:fldCharType="separate"/>
    </w:r>
    <w:r w:rsidR="006608ED">
      <w:rPr>
        <w:noProof/>
      </w:rPr>
      <w:fldChar w:fldCharType="begin"/>
    </w:r>
    <w:r w:rsidR="006608ED">
      <w:rPr>
        <w:noProof/>
      </w:rPr>
      <w:instrText xml:space="preserve"> </w:instrText>
    </w:r>
    <w:r w:rsidR="006608ED">
      <w:rPr>
        <w:noProof/>
      </w:rPr>
      <w:instrText>INCLUDEPICTURE  "cid:CF208608-A708-48B6-8978-98B229C9ED9D" \* MERGEFORMATINET</w:instrText>
    </w:r>
    <w:r w:rsidR="006608ED">
      <w:rPr>
        <w:noProof/>
      </w:rPr>
      <w:instrText xml:space="preserve"> </w:instrText>
    </w:r>
    <w:r w:rsidR="006608ED">
      <w:rPr>
        <w:noProof/>
      </w:rPr>
      <w:fldChar w:fldCharType="separate"/>
    </w:r>
    <w:r w:rsidR="006608E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5.25pt;height:42.75pt;visibility:visible">
          <v:imagedata r:id="rId1" r:href="rId2"/>
        </v:shape>
      </w:pict>
    </w:r>
    <w:r w:rsidR="006608ED">
      <w:rPr>
        <w:noProof/>
      </w:rPr>
      <w:fldChar w:fldCharType="end"/>
    </w:r>
    <w:r w:rsidR="004E6235">
      <w:rPr>
        <w:noProof/>
      </w:rPr>
      <w:fldChar w:fldCharType="end"/>
    </w:r>
    <w:r>
      <w:rPr>
        <w:noProof/>
      </w:rPr>
      <w:fldChar w:fldCharType="end"/>
    </w:r>
  </w:p>
  <w:p w:rsidR="007746DE" w:rsidRDefault="007746DE">
    <w:pPr>
      <w:pStyle w:val="Encabezado"/>
    </w:pPr>
  </w:p>
  <w:p w:rsidR="007746DE" w:rsidRDefault="007746D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41C3" w:rsidRDefault="00C441C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0F5011"/>
    <w:multiLevelType w:val="hybridMultilevel"/>
    <w:tmpl w:val="F76EBC6A"/>
    <w:lvl w:ilvl="0" w:tplc="790A0AA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5BF"/>
    <w:rsid w:val="00006A13"/>
    <w:rsid w:val="0016442D"/>
    <w:rsid w:val="00202DAB"/>
    <w:rsid w:val="002E75BF"/>
    <w:rsid w:val="00371AA8"/>
    <w:rsid w:val="004E6235"/>
    <w:rsid w:val="005718E9"/>
    <w:rsid w:val="005E0ACE"/>
    <w:rsid w:val="006608ED"/>
    <w:rsid w:val="00754B16"/>
    <w:rsid w:val="007746DE"/>
    <w:rsid w:val="007C3B3B"/>
    <w:rsid w:val="0083355B"/>
    <w:rsid w:val="00B64139"/>
    <w:rsid w:val="00BA0641"/>
    <w:rsid w:val="00C15DA5"/>
    <w:rsid w:val="00C441C3"/>
    <w:rsid w:val="00C96B42"/>
    <w:rsid w:val="00D55AD8"/>
    <w:rsid w:val="00F41E1C"/>
    <w:rsid w:val="00FD46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5:chartTrackingRefBased/>
  <w15:docId w15:val="{01F38653-4AD3-4609-A533-60D5B97F8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75BF"/>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aconcuadrcula1">
    <w:name w:val="Tabla con cuadrícula1"/>
    <w:basedOn w:val="Tablanormal"/>
    <w:next w:val="Tablaconcuadrcula"/>
    <w:rsid w:val="00202DAB"/>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202D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FD4610"/>
    <w:pPr>
      <w:ind w:left="720"/>
      <w:contextualSpacing/>
    </w:pPr>
  </w:style>
  <w:style w:type="character" w:customStyle="1" w:styleId="PrrafodelistaCar">
    <w:name w:val="Párrafo de lista Car"/>
    <w:link w:val="Prrafodelista"/>
    <w:uiPriority w:val="34"/>
    <w:rsid w:val="00FD4610"/>
    <w:rPr>
      <w:rFonts w:ascii="Times New Roman" w:eastAsia="Times New Roman" w:hAnsi="Times New Roman" w:cs="Times New Roman"/>
      <w:sz w:val="24"/>
      <w:szCs w:val="24"/>
      <w:lang w:eastAsia="es-ES"/>
    </w:rPr>
  </w:style>
  <w:style w:type="paragraph" w:styleId="Encabezado">
    <w:name w:val="header"/>
    <w:basedOn w:val="Normal"/>
    <w:link w:val="EncabezadoCar"/>
    <w:uiPriority w:val="99"/>
    <w:unhideWhenUsed/>
    <w:rsid w:val="00C441C3"/>
    <w:pPr>
      <w:tabs>
        <w:tab w:val="center" w:pos="4252"/>
        <w:tab w:val="right" w:pos="8504"/>
      </w:tabs>
    </w:pPr>
  </w:style>
  <w:style w:type="character" w:customStyle="1" w:styleId="EncabezadoCar">
    <w:name w:val="Encabezado Car"/>
    <w:basedOn w:val="Fuentedeprrafopredeter"/>
    <w:link w:val="Encabezado"/>
    <w:uiPriority w:val="99"/>
    <w:rsid w:val="00C441C3"/>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C441C3"/>
    <w:pPr>
      <w:tabs>
        <w:tab w:val="center" w:pos="4252"/>
        <w:tab w:val="right" w:pos="8504"/>
      </w:tabs>
    </w:pPr>
  </w:style>
  <w:style w:type="character" w:customStyle="1" w:styleId="PiedepginaCar">
    <w:name w:val="Pie de página Car"/>
    <w:basedOn w:val="Fuentedeprrafopredeter"/>
    <w:link w:val="Piedepgina"/>
    <w:uiPriority w:val="99"/>
    <w:rsid w:val="00C441C3"/>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cid:CF208608-A708-48B6-8978-98B229C9ED9D" TargetMode="External"/><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5DCDE5-A2ED-4210-8652-C351734BE8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7558</Words>
  <Characters>41571</Characters>
  <Application>Microsoft Office Word</Application>
  <DocSecurity>0</DocSecurity>
  <Lines>346</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Nuria García García</dc:creator>
  <cp:keywords/>
  <dc:description/>
  <cp:lastModifiedBy>Nuria García García</cp:lastModifiedBy>
  <cp:revision>2</cp:revision>
  <dcterms:created xsi:type="dcterms:W3CDTF">2019-09-10T09:04:00Z</dcterms:created>
  <dcterms:modified xsi:type="dcterms:W3CDTF">2019-09-10T09:04:00Z</dcterms:modified>
</cp:coreProperties>
</file>