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4FC6" w:rsidRDefault="00F64FC6" w:rsidP="00F64FC6">
      <w:pPr>
        <w:rPr>
          <w:color w:val="1F497D"/>
        </w:rPr>
      </w:pPr>
    </w:p>
    <w:p w:rsidR="00F64FC6" w:rsidRDefault="00F64FC6" w:rsidP="00F64FC6">
      <w:pPr>
        <w:rPr>
          <w:color w:val="1F497D"/>
          <w:u w:val="single"/>
        </w:rPr>
      </w:pPr>
      <w:r>
        <w:rPr>
          <w:color w:val="1F497D"/>
          <w:u w:val="single"/>
        </w:rPr>
        <w:t>Esquema de intervención Almudena Kessler</w:t>
      </w:r>
      <w:bookmarkStart w:id="0" w:name="_GoBack"/>
      <w:bookmarkEnd w:id="0"/>
    </w:p>
    <w:p w:rsidR="00F64FC6" w:rsidRDefault="00F64FC6" w:rsidP="00F64FC6">
      <w:pPr>
        <w:rPr>
          <w:color w:val="1F497D"/>
        </w:rPr>
      </w:pPr>
    </w:p>
    <w:p w:rsidR="00F64FC6" w:rsidRDefault="00F64FC6" w:rsidP="00F64FC6">
      <w:pPr>
        <w:numPr>
          <w:ilvl w:val="0"/>
          <w:numId w:val="1"/>
        </w:numPr>
        <w:rPr>
          <w:color w:val="1F497D"/>
        </w:rPr>
      </w:pPr>
      <w:r>
        <w:rPr>
          <w:color w:val="1F497D"/>
        </w:rPr>
        <w:t>Breve introducción de los objetivos perseguidos por la política de competencia.</w:t>
      </w:r>
    </w:p>
    <w:p w:rsidR="00F64FC6" w:rsidRDefault="00F64FC6" w:rsidP="00F64FC6">
      <w:pPr>
        <w:numPr>
          <w:ilvl w:val="0"/>
          <w:numId w:val="1"/>
        </w:numPr>
        <w:rPr>
          <w:color w:val="1F497D"/>
        </w:rPr>
      </w:pPr>
      <w:r>
        <w:rPr>
          <w:color w:val="1F497D"/>
        </w:rPr>
        <w:t>Principales líneas de actuación de la CNMC en el sector farmacéutico en los últimos años:</w:t>
      </w:r>
    </w:p>
    <w:p w:rsidR="00F64FC6" w:rsidRDefault="00F64FC6" w:rsidP="00F64FC6">
      <w:pPr>
        <w:numPr>
          <w:ilvl w:val="1"/>
          <w:numId w:val="1"/>
        </w:numPr>
        <w:rPr>
          <w:color w:val="1F497D"/>
        </w:rPr>
      </w:pPr>
      <w:r>
        <w:rPr>
          <w:color w:val="1F497D"/>
        </w:rPr>
        <w:t xml:space="preserve">Conductas:         </w:t>
      </w:r>
    </w:p>
    <w:p w:rsidR="00F64FC6" w:rsidRDefault="00F64FC6" w:rsidP="00F64FC6">
      <w:pPr>
        <w:numPr>
          <w:ilvl w:val="2"/>
          <w:numId w:val="1"/>
        </w:numPr>
        <w:rPr>
          <w:color w:val="1F497D"/>
        </w:rPr>
      </w:pPr>
      <w:r>
        <w:rPr>
          <w:color w:val="1F497D"/>
          <w:u w:val="single"/>
        </w:rPr>
        <w:t>Comercio paralelo:</w:t>
      </w:r>
      <w:r>
        <w:rPr>
          <w:color w:val="1F497D"/>
        </w:rPr>
        <w:t xml:space="preserve"> reciente resolución caso S/DC/0608/17 EAEPC vs Laboratorios farmacéuticos II estrechamente vinculado con el caso de PFIZER COFARES y que han evolucionado de manera idéntica. </w:t>
      </w:r>
    </w:p>
    <w:p w:rsidR="00F64FC6" w:rsidRDefault="00F64FC6" w:rsidP="00F64FC6">
      <w:pPr>
        <w:ind w:left="2124"/>
        <w:rPr>
          <w:color w:val="1F497D"/>
        </w:rPr>
      </w:pPr>
      <w:r>
        <w:rPr>
          <w:color w:val="1F497D"/>
        </w:rPr>
        <w:t xml:space="preserve">Expediente iniciado por indicación del Tribunal Supremo, (basándose en la jurisprudencia comunitaria en el caso GLAXO España) en su sentencia de 4 de marzo de 2016, en la que instó a la CNMC a incoar procedimiento sancionador a varios laboratorios farmacéuticos (PFIZER, JANSEN CILAG, MERCK SHARP &amp; DOHME, SANOFI y NOVARTIS) por supuestas prácticas anticompetitivas, denunciadas por EAEPC en octubre de 2007, consistentes en el establecimiento por parte de los mismos de unos nuevos sistemas de distribución a través de los cuales habrían implantado sistema de doble precio dirigido a restringir las exportaciones paralelas desde el mercado español, todo ello instrumentado de forma colusoria con la exclusión de determinados mayoristas y el establecimiento de un sistema de intercambio de información. </w:t>
      </w:r>
    </w:p>
    <w:p w:rsidR="00F64FC6" w:rsidRDefault="00F64FC6" w:rsidP="00F64FC6">
      <w:pPr>
        <w:ind w:left="2124"/>
        <w:rPr>
          <w:color w:val="1F497D"/>
        </w:rPr>
      </w:pPr>
      <w:r>
        <w:rPr>
          <w:color w:val="1F497D"/>
        </w:rPr>
        <w:t>En su resolución, el Consejo de la CNMC ha confirmado la propuesta de la DC declarando no acreditado que el sistema de precios establecidos por los laboratorios en sus contratos suponga una infracción del artículo 1 de la LDC y/o del artículo 101 del TFUE y declarar no acreditado que la introducción de dichos sistemas de precios sea consecuencia de una concertación de los Laboratorios en infracción de los mismos artículos.</w:t>
      </w:r>
    </w:p>
    <w:p w:rsidR="00F64FC6" w:rsidRDefault="00F64FC6" w:rsidP="00F64FC6">
      <w:pPr>
        <w:pStyle w:val="Prrafodelista"/>
        <w:ind w:left="2484"/>
        <w:rPr>
          <w:color w:val="1F497D"/>
        </w:rPr>
      </w:pPr>
    </w:p>
    <w:p w:rsidR="00F64FC6" w:rsidRDefault="00F64FC6" w:rsidP="00F64FC6">
      <w:pPr>
        <w:numPr>
          <w:ilvl w:val="2"/>
          <w:numId w:val="1"/>
        </w:numPr>
        <w:rPr>
          <w:color w:val="1F497D"/>
        </w:rPr>
      </w:pPr>
      <w:r>
        <w:rPr>
          <w:color w:val="1F497D"/>
        </w:rPr>
        <w:t>Terminación convencional en el caso S/DC/0567/15 Estudios de Mercado Industria Farmacéutica. Expediente iniciado por denuncia de HEALTH MARKET RESEARCH ESPAÑA contra IMS HEALTH por un supuesto abuso de posición de dominio (art. 2 LDC) en relación con la actividad de suministro de información sobre ventas a la industria farmacéutica, al haber impuesto a los distribuidores farmacéuticos una prohibición o, al menos, limitaciones significativas al suministro de datos a otros operadores, con el objeto y efecto de reservarse en exclusiva el acceso a los datos de ventas de dichos distribuidores.</w:t>
      </w:r>
    </w:p>
    <w:p w:rsidR="00F64FC6" w:rsidRDefault="00F64FC6" w:rsidP="00F64FC6">
      <w:pPr>
        <w:pStyle w:val="Prrafodelista"/>
        <w:ind w:left="2160"/>
        <w:rPr>
          <w:color w:val="1F497D"/>
        </w:rPr>
      </w:pPr>
      <w:r>
        <w:rPr>
          <w:color w:val="1F497D"/>
        </w:rPr>
        <w:t>Se acordó inicio de terminación convencional el 11 de octubre de 2016, presentando IMS compromisos para resolver los efectos sobre la competencia derivados de las conductas objeto del expediente y garantizar suficientemente el interés</w:t>
      </w:r>
    </w:p>
    <w:p w:rsidR="00F64FC6" w:rsidRDefault="00F64FC6" w:rsidP="00F64FC6">
      <w:pPr>
        <w:pStyle w:val="Prrafodelista"/>
        <w:ind w:left="2160"/>
        <w:rPr>
          <w:color w:val="1F497D"/>
        </w:rPr>
      </w:pPr>
      <w:r>
        <w:rPr>
          <w:color w:val="1F497D"/>
        </w:rPr>
        <w:t>Público, que han sido declarados adecuados y vinculantes por parte del Consejo de la CNMC en su resolución. Actualmente en vigilancia.</w:t>
      </w:r>
    </w:p>
    <w:p w:rsidR="00F64FC6" w:rsidRDefault="00F64FC6" w:rsidP="00F64FC6">
      <w:pPr>
        <w:pStyle w:val="Prrafodelista"/>
        <w:ind w:left="2160"/>
        <w:rPr>
          <w:color w:val="1F497D"/>
        </w:rPr>
      </w:pPr>
    </w:p>
    <w:p w:rsidR="00F64FC6" w:rsidRDefault="00F64FC6" w:rsidP="00F64FC6">
      <w:pPr>
        <w:numPr>
          <w:ilvl w:val="1"/>
          <w:numId w:val="1"/>
        </w:numPr>
        <w:rPr>
          <w:color w:val="1F497D"/>
        </w:rPr>
      </w:pPr>
      <w:r>
        <w:rPr>
          <w:color w:val="1F497D"/>
        </w:rPr>
        <w:t xml:space="preserve">Control de concentraciones: </w:t>
      </w:r>
    </w:p>
    <w:p w:rsidR="00F64FC6" w:rsidRDefault="00F64FC6" w:rsidP="00F64FC6">
      <w:pPr>
        <w:numPr>
          <w:ilvl w:val="2"/>
          <w:numId w:val="1"/>
        </w:numPr>
        <w:rPr>
          <w:color w:val="1F497D"/>
        </w:rPr>
      </w:pPr>
      <w:r>
        <w:rPr>
          <w:color w:val="1F497D"/>
        </w:rPr>
        <w:t>Tendencia creciente a la concentración en el sector de la distribución mayorista de medicamentos con un número creciente de operaciones de concentración notificadas y analizadas por la CNMC. Especial interés y atención por parte de la DC en futuras concentraciones.</w:t>
      </w:r>
    </w:p>
    <w:p w:rsidR="00F64FC6" w:rsidRDefault="00F64FC6" w:rsidP="00F64FC6">
      <w:pPr>
        <w:numPr>
          <w:ilvl w:val="2"/>
          <w:numId w:val="1"/>
        </w:numPr>
        <w:rPr>
          <w:color w:val="1F497D"/>
        </w:rPr>
      </w:pPr>
      <w:r>
        <w:rPr>
          <w:color w:val="1F497D"/>
        </w:rPr>
        <w:lastRenderedPageBreak/>
        <w:t xml:space="preserve">En el marco de la discusión actual en Europa sobre umbrales de notificación, cabe destacar la operación de INTEGRA- CODMAN NEUROSURGERY BUSINESS, notificada por el umbral de cuota de mercado en España. La operación ha sido notificada y analizada también en USA e india y en UK. No fue notificada en ningún otro país de la UE al no cumplirse los umbrales de notificación de volumen de negocios de las partes. Sin embargo las partes alcanzaban cuotas muy elevadas en un mercado relevante </w:t>
      </w:r>
      <w:proofErr w:type="gramStart"/>
      <w:r>
        <w:rPr>
          <w:color w:val="1F497D"/>
        </w:rPr>
        <w:t>( 80</w:t>
      </w:r>
      <w:proofErr w:type="gramEnd"/>
      <w:r>
        <w:rPr>
          <w:color w:val="1F497D"/>
        </w:rPr>
        <w:t>_90%) haciendo necesaria la presentación de compromisos para su aprobación. Fue aprobada en primera fase y con compromisos estructurales de desinversión.</w:t>
      </w:r>
    </w:p>
    <w:p w:rsidR="00BA0641" w:rsidRDefault="00BA0641"/>
    <w:sectPr w:rsidR="00BA064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FF3325"/>
    <w:multiLevelType w:val="hybridMultilevel"/>
    <w:tmpl w:val="505421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FC6"/>
    <w:rsid w:val="0083355B"/>
    <w:rsid w:val="00BA0641"/>
    <w:rsid w:val="00F64FC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D7EEB"/>
  <w15:chartTrackingRefBased/>
  <w15:docId w15:val="{72882B33-7E1C-46D0-B93F-D7BF1279F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4FC6"/>
    <w:pPr>
      <w:spacing w:after="0" w:line="240" w:lineRule="auto"/>
    </w:pPr>
    <w:rPr>
      <w:rFonts w:ascii="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64FC6"/>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686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548</Words>
  <Characters>3018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Nuria García García</dc:creator>
  <cp:keywords/>
  <dc:description/>
  <cp:lastModifiedBy>Nuria García García</cp:lastModifiedBy>
  <cp:revision>1</cp:revision>
  <dcterms:created xsi:type="dcterms:W3CDTF">2018-09-12T07:36:00Z</dcterms:created>
  <dcterms:modified xsi:type="dcterms:W3CDTF">2018-09-12T07:37:00Z</dcterms:modified>
</cp:coreProperties>
</file>