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286" w:rsidRDefault="00F82F5D" w:rsidP="00361A13">
      <w:pPr>
        <w:jc w:val="center"/>
        <w:rPr>
          <w:b/>
          <w:u w:val="single"/>
        </w:rPr>
      </w:pPr>
      <w:r w:rsidRPr="00361A13">
        <w:rPr>
          <w:b/>
          <w:u w:val="single"/>
        </w:rPr>
        <w:t>POLÍTICAS DE PRECIO Y COMPETENCIA</w:t>
      </w:r>
    </w:p>
    <w:p w:rsidR="00361A13" w:rsidRPr="00361A13" w:rsidRDefault="00F82F5D" w:rsidP="00361A13">
      <w:pPr>
        <w:jc w:val="center"/>
        <w:rPr>
          <w:b/>
          <w:u w:val="single"/>
        </w:rPr>
      </w:pPr>
      <w:r w:rsidRPr="00361A13">
        <w:rPr>
          <w:b/>
          <w:u w:val="single"/>
        </w:rPr>
        <w:t xml:space="preserve">XIV CURSO DE </w:t>
      </w:r>
      <w:r w:rsidR="00361A13" w:rsidRPr="00361A13">
        <w:rPr>
          <w:b/>
          <w:u w:val="single"/>
        </w:rPr>
        <w:t>DERECHO FARMACÉUTICO</w:t>
      </w:r>
      <w:r w:rsidR="00F73F53">
        <w:rPr>
          <w:b/>
          <w:u w:val="single"/>
        </w:rPr>
        <w:t xml:space="preserve"> CEFI</w:t>
      </w:r>
    </w:p>
    <w:p w:rsidR="00917FB5" w:rsidRDefault="00917FB5" w:rsidP="00917FB5">
      <w:pPr>
        <w:jc w:val="left"/>
      </w:pPr>
    </w:p>
    <w:p w:rsidR="00917FB5" w:rsidRDefault="00917FB5" w:rsidP="00917FB5">
      <w:pPr>
        <w:jc w:val="left"/>
      </w:pPr>
      <w:r>
        <w:t>Alfonso Gutiérrez</w:t>
      </w:r>
    </w:p>
    <w:p w:rsidR="00917FB5" w:rsidRPr="00415196" w:rsidRDefault="00917FB5" w:rsidP="00917FB5">
      <w:pPr>
        <w:jc w:val="left"/>
      </w:pPr>
      <w:r>
        <w:t>Abogado. Uría Menéndez</w:t>
      </w:r>
    </w:p>
    <w:p w:rsidR="00917FB5" w:rsidRDefault="00917FB5" w:rsidP="00B875A7">
      <w:pPr>
        <w:rPr>
          <w:u w:val="single"/>
        </w:rPr>
      </w:pPr>
    </w:p>
    <w:p w:rsidR="00361A13" w:rsidRPr="00361A13" w:rsidRDefault="00361A13" w:rsidP="00B875A7">
      <w:pPr>
        <w:rPr>
          <w:u w:val="single"/>
        </w:rPr>
      </w:pPr>
      <w:r w:rsidRPr="00361A13">
        <w:rPr>
          <w:u w:val="single"/>
        </w:rPr>
        <w:t>1. Artículo</w:t>
      </w:r>
      <w:r>
        <w:rPr>
          <w:u w:val="single"/>
        </w:rPr>
        <w:t>s</w:t>
      </w:r>
      <w:r w:rsidRPr="00361A13">
        <w:rPr>
          <w:u w:val="single"/>
        </w:rPr>
        <w:t xml:space="preserve"> 1 LDC / 101 TFUE</w:t>
      </w:r>
    </w:p>
    <w:p w:rsidR="00361A13" w:rsidRDefault="009A4641" w:rsidP="00B875A7">
      <w:r>
        <w:t>Párrafo 1: p</w:t>
      </w:r>
      <w:r w:rsidR="00361A13">
        <w:t>rohíben los acuerdos entre empresas cuyo objeto o efecto sea restringir o falsear la competencia en el mercado.</w:t>
      </w:r>
    </w:p>
    <w:p w:rsidR="00361A13" w:rsidRDefault="009A4641" w:rsidP="00B875A7">
      <w:r>
        <w:t>Párrafo 3: s</w:t>
      </w:r>
      <w:r w:rsidR="00361A13">
        <w:t>alvo que los acuerdos restrictivos generen eficiencias para los consumidores y se cumplan ciertas condiciones de indispensabilidad y proporcionalidad.</w:t>
      </w:r>
    </w:p>
    <w:p w:rsidR="00361A13" w:rsidRPr="00361A13" w:rsidRDefault="00361A13" w:rsidP="00B875A7">
      <w:pPr>
        <w:rPr>
          <w:u w:val="single"/>
        </w:rPr>
      </w:pPr>
      <w:r>
        <w:rPr>
          <w:u w:val="single"/>
        </w:rPr>
        <w:t xml:space="preserve">2. </w:t>
      </w:r>
      <w:r w:rsidRPr="00361A13">
        <w:rPr>
          <w:u w:val="single"/>
        </w:rPr>
        <w:t>Políticas de precios de laboratorios farmacéuticos y relevancia de los artículos 1 LDC / 101 TFUE</w:t>
      </w:r>
    </w:p>
    <w:p w:rsidR="00247B26" w:rsidRDefault="00247B26" w:rsidP="00B875A7">
      <w:r>
        <w:t>Tipología de acuerdos relevantes:</w:t>
      </w:r>
    </w:p>
    <w:p w:rsidR="00247B26" w:rsidRPr="00247B26" w:rsidRDefault="00247B26" w:rsidP="00247B26">
      <w:pPr>
        <w:pStyle w:val="Prrafodelista"/>
        <w:numPr>
          <w:ilvl w:val="0"/>
          <w:numId w:val="6"/>
        </w:numPr>
        <w:rPr>
          <w:b/>
        </w:rPr>
      </w:pPr>
      <w:r w:rsidRPr="00247B26">
        <w:rPr>
          <w:b/>
        </w:rPr>
        <w:t>Acuerdos horizontales entre laboratorios</w:t>
      </w:r>
    </w:p>
    <w:p w:rsidR="00247B26" w:rsidRPr="00DB22D8" w:rsidRDefault="00247B26" w:rsidP="00247B26">
      <w:pPr>
        <w:pStyle w:val="Prrafodelista"/>
        <w:ind w:left="1080"/>
        <w:rPr>
          <w:u w:val="single"/>
        </w:rPr>
      </w:pPr>
      <w:r w:rsidRPr="00DB22D8">
        <w:rPr>
          <w:u w:val="single"/>
        </w:rPr>
        <w:t>Licencias de patentes</w:t>
      </w:r>
    </w:p>
    <w:p w:rsidR="00DB22D8" w:rsidRDefault="00DB22D8" w:rsidP="00247B26">
      <w:pPr>
        <w:pStyle w:val="Prrafodelista"/>
        <w:ind w:left="1080"/>
      </w:pPr>
      <w:r>
        <w:t xml:space="preserve">Reglamento </w:t>
      </w:r>
      <w:r w:rsidR="00ED44FA">
        <w:t xml:space="preserve">UE </w:t>
      </w:r>
      <w:r>
        <w:t>316/2014 (Transferencia de Tecnología)</w:t>
      </w:r>
    </w:p>
    <w:p w:rsidR="00DB22D8" w:rsidRDefault="00DB22D8" w:rsidP="00247B26">
      <w:pPr>
        <w:pStyle w:val="Prrafodelista"/>
        <w:ind w:left="1080"/>
      </w:pPr>
      <w:r>
        <w:t xml:space="preserve">Distinción entre acuerdos de licencia entre competidores y </w:t>
      </w:r>
      <w:r w:rsidR="00ED44FA">
        <w:t xml:space="preserve">entre </w:t>
      </w:r>
      <w:r>
        <w:t>no competidores</w:t>
      </w:r>
    </w:p>
    <w:p w:rsidR="00DB22D8" w:rsidRDefault="00DB22D8" w:rsidP="00DB22D8">
      <w:pPr>
        <w:pStyle w:val="Prrafodelista"/>
        <w:numPr>
          <w:ilvl w:val="0"/>
          <w:numId w:val="7"/>
        </w:numPr>
      </w:pPr>
      <w:r>
        <w:t>Acuerdos de licencia entre competidores</w:t>
      </w:r>
    </w:p>
    <w:p w:rsidR="00DB22D8" w:rsidRDefault="00D70AED" w:rsidP="00DB22D8">
      <w:pPr>
        <w:pStyle w:val="Prrafodelista"/>
        <w:ind w:left="1440"/>
      </w:pPr>
      <w:r>
        <w:t xml:space="preserve">La limitación de la libertad del </w:t>
      </w:r>
      <w:r w:rsidR="00ED44FA">
        <w:t xml:space="preserve">laboratorio </w:t>
      </w:r>
      <w:r>
        <w:t xml:space="preserve">licenciatario para establecer los precios de venta </w:t>
      </w:r>
      <w:r w:rsidR="00ED44FA">
        <w:t xml:space="preserve">a terceros </w:t>
      </w:r>
      <w:r>
        <w:t>del producto licenciado es una “</w:t>
      </w:r>
      <w:r w:rsidRPr="007D7AC4">
        <w:rPr>
          <w:i/>
        </w:rPr>
        <w:t>restricción especialmente grave</w:t>
      </w:r>
      <w:r>
        <w:t>” (art. 4.1 a)</w:t>
      </w:r>
      <w:r w:rsidR="00213D88">
        <w:t xml:space="preserve">, restrictiva en sí misma y prohibida. </w:t>
      </w:r>
    </w:p>
    <w:p w:rsidR="00213D88" w:rsidRDefault="00213D88" w:rsidP="00213D88">
      <w:pPr>
        <w:pStyle w:val="Prrafodelista"/>
        <w:numPr>
          <w:ilvl w:val="0"/>
          <w:numId w:val="7"/>
        </w:numPr>
      </w:pPr>
      <w:r>
        <w:t>Acuerdos de licencia entre no competidores</w:t>
      </w:r>
    </w:p>
    <w:p w:rsidR="00F73F53" w:rsidRDefault="00213D88" w:rsidP="00213D88">
      <w:pPr>
        <w:pStyle w:val="Prrafodelista"/>
        <w:ind w:left="1440"/>
      </w:pPr>
      <w:r>
        <w:t xml:space="preserve">La limitación de la libertad del licenciatario para establecer los precios </w:t>
      </w:r>
      <w:r w:rsidR="00ED44FA" w:rsidRPr="00213D88">
        <w:rPr>
          <w:u w:val="single"/>
        </w:rPr>
        <w:t>fijos o mínimos</w:t>
      </w:r>
      <w:r w:rsidR="00ED44FA">
        <w:t xml:space="preserve"> </w:t>
      </w:r>
      <w:r>
        <w:t xml:space="preserve">de venta </w:t>
      </w:r>
      <w:r w:rsidR="00ED44FA">
        <w:t xml:space="preserve">a terceros </w:t>
      </w:r>
      <w:r>
        <w:t>del producto licenciado es una “</w:t>
      </w:r>
      <w:r w:rsidRPr="007D7AC4">
        <w:rPr>
          <w:i/>
        </w:rPr>
        <w:t>restricción especialmente grave</w:t>
      </w:r>
      <w:r>
        <w:t xml:space="preserve">” (art. 4.2 a), restrictiva en sí misma y prohibida. Por el contrario, el </w:t>
      </w:r>
      <w:r w:rsidR="00ED44FA">
        <w:t xml:space="preserve">laboratorio </w:t>
      </w:r>
      <w:r>
        <w:t xml:space="preserve">licenciante puede </w:t>
      </w:r>
      <w:r w:rsidR="00F73F53">
        <w:t>válida</w:t>
      </w:r>
      <w:r>
        <w:t>mente imponer a</w:t>
      </w:r>
      <w:r w:rsidR="00ED44FA">
        <w:t xml:space="preserve">l laboratorio </w:t>
      </w:r>
      <w:r>
        <w:t>licenciatario</w:t>
      </w:r>
      <w:r w:rsidR="00F73F53">
        <w:t xml:space="preserve"> precios de reventa </w:t>
      </w:r>
      <w:r w:rsidR="00F73F53" w:rsidRPr="00F73F53">
        <w:rPr>
          <w:u w:val="single"/>
        </w:rPr>
        <w:t>máximos o recomendados</w:t>
      </w:r>
      <w:r w:rsidR="00F73F53">
        <w:t>.</w:t>
      </w:r>
    </w:p>
    <w:p w:rsidR="00F73F53" w:rsidRPr="00F73F53" w:rsidRDefault="00F73F53" w:rsidP="00CC24DD">
      <w:pPr>
        <w:pStyle w:val="Prrafodelista"/>
        <w:ind w:left="1440"/>
      </w:pPr>
      <w:r>
        <w:t xml:space="preserve">NB: el Reglamento prohíbe los medios directos e indirectos de fijación de precios: márgenes, descuentos, represalias comerciales, sistemas de detección de desviaciones de precios, cláusulas </w:t>
      </w:r>
      <w:r w:rsidR="00CC24DD">
        <w:t>de clientes preferentes, etc.</w:t>
      </w:r>
    </w:p>
    <w:p w:rsidR="00247B26" w:rsidRPr="00DB22D8" w:rsidRDefault="00247B26" w:rsidP="00247B26">
      <w:pPr>
        <w:pStyle w:val="Prrafodelista"/>
        <w:numPr>
          <w:ilvl w:val="0"/>
          <w:numId w:val="6"/>
        </w:numPr>
        <w:rPr>
          <w:b/>
        </w:rPr>
      </w:pPr>
      <w:r w:rsidRPr="00DB22D8">
        <w:rPr>
          <w:b/>
        </w:rPr>
        <w:t>Acuerdos verticales entre laboratorios y distribuidores (mayoristas o minoristas)</w:t>
      </w:r>
    </w:p>
    <w:p w:rsidR="005E39B1" w:rsidRDefault="00A83139" w:rsidP="003329CD">
      <w:pPr>
        <w:pStyle w:val="Prrafodelista"/>
        <w:ind w:left="1080"/>
      </w:pPr>
      <w:r>
        <w:t>Contratos de distribución de medicamentos</w:t>
      </w:r>
      <w:r w:rsidR="003329CD">
        <w:t xml:space="preserve">: en </w:t>
      </w:r>
      <w:r>
        <w:t>general sometidos al Reglamento 330/2010 (Restricciones Verticales)</w:t>
      </w:r>
      <w:r w:rsidR="003329CD">
        <w:t>: las eventuales restricciones impuestas sobre el distribuidor están automáticamente autorizadas por debajo de cuotas de mercado del 30% y siempre que el contrato no contemple restricciones “especialmente graves”</w:t>
      </w:r>
      <w:r w:rsidR="005E39B1">
        <w:t>.</w:t>
      </w:r>
    </w:p>
    <w:p w:rsidR="005E39B1" w:rsidRDefault="005E39B1" w:rsidP="003329CD">
      <w:pPr>
        <w:pStyle w:val="Prrafodelista"/>
        <w:ind w:left="1080"/>
      </w:pPr>
      <w:r>
        <w:t>Restricciones especialmente graves:</w:t>
      </w:r>
    </w:p>
    <w:p w:rsidR="00247B26" w:rsidRDefault="003A33D6" w:rsidP="005E39B1">
      <w:pPr>
        <w:pStyle w:val="Prrafodelista"/>
        <w:numPr>
          <w:ilvl w:val="0"/>
          <w:numId w:val="9"/>
        </w:numPr>
      </w:pPr>
      <w:r>
        <w:t xml:space="preserve">Fijación </w:t>
      </w:r>
      <w:r w:rsidR="005E39B1">
        <w:t xml:space="preserve">al distribuidor </w:t>
      </w:r>
      <w:r>
        <w:t>de precios de reventa</w:t>
      </w:r>
    </w:p>
    <w:p w:rsidR="005E39B1" w:rsidRDefault="005E39B1" w:rsidP="005E39B1">
      <w:pPr>
        <w:pStyle w:val="Prrafodelista"/>
        <w:ind w:left="1440"/>
      </w:pPr>
      <w:r>
        <w:t xml:space="preserve">El laboratorio no puede establecer (directa o indirectamente) los precios fijos o mínimos de reventa de los medicamentos, pero sí </w:t>
      </w:r>
      <w:r w:rsidR="00ED44FA">
        <w:t xml:space="preserve">puede fijar </w:t>
      </w:r>
      <w:r>
        <w:t>precios máximos o recomendados.</w:t>
      </w:r>
    </w:p>
    <w:p w:rsidR="007D7AC4" w:rsidRPr="00F73F53" w:rsidRDefault="005E39B1" w:rsidP="007D7AC4">
      <w:pPr>
        <w:pStyle w:val="Prrafodelista"/>
        <w:ind w:left="1440"/>
      </w:pPr>
      <w:r>
        <w:t xml:space="preserve">NB Medios indirectos </w:t>
      </w:r>
      <w:r w:rsidR="007D7AC4">
        <w:t>para la fijación de los precios (márgenes, descuentos, represalias comerciales, sistemas de detección de desviaciones de precios, cláusulas de clientes preferentes, etc.)</w:t>
      </w:r>
    </w:p>
    <w:p w:rsidR="00627EF1" w:rsidRDefault="005E39B1" w:rsidP="005E39B1">
      <w:pPr>
        <w:pStyle w:val="Prrafodelista"/>
        <w:numPr>
          <w:ilvl w:val="0"/>
          <w:numId w:val="9"/>
        </w:numPr>
      </w:pPr>
      <w:r>
        <w:t xml:space="preserve">Limitación </w:t>
      </w:r>
      <w:r w:rsidR="00627EF1">
        <w:t xml:space="preserve">de la libertad del distribuidor de elegir el territorio o cliente al que revende </w:t>
      </w:r>
      <w:r w:rsidR="00627EF1" w:rsidRPr="00627EF1">
        <w:rPr>
          <w:u w:val="single"/>
        </w:rPr>
        <w:t>pasivamente</w:t>
      </w:r>
      <w:r w:rsidR="00627EF1">
        <w:t xml:space="preserve"> el medicamento</w:t>
      </w:r>
    </w:p>
    <w:p w:rsidR="0058446D" w:rsidRDefault="00627EF1" w:rsidP="0058446D">
      <w:pPr>
        <w:pStyle w:val="Prrafodelista"/>
        <w:ind w:left="1440"/>
      </w:pPr>
      <w:r>
        <w:t xml:space="preserve">Por el contrario, el Reglamento no considera una restricción “especialmente grave” prohibir al distribuidor la reventa </w:t>
      </w:r>
      <w:r w:rsidRPr="00627EF1">
        <w:rPr>
          <w:u w:val="single"/>
        </w:rPr>
        <w:t>activa</w:t>
      </w:r>
      <w:r>
        <w:t xml:space="preserve"> de los productos en territorios o a clientes previamente reservados </w:t>
      </w:r>
      <w:r w:rsidR="0058446D">
        <w:t>al laboratorio o a otro distribuidor.</w:t>
      </w:r>
      <w:r w:rsidR="001B2C8A">
        <w:t xml:space="preserve"> Ventas activas: adoptar medidas comerciales designadas específicamente a vender el producto en un territorio / a un cliente determinado (</w:t>
      </w:r>
      <w:r w:rsidR="004B238F">
        <w:t xml:space="preserve">p.ej. </w:t>
      </w:r>
      <w:r w:rsidR="001B2C8A">
        <w:t>mailing personalizado, idioma, fuerza de ventas, almacenes, etc.)</w:t>
      </w:r>
    </w:p>
    <w:p w:rsidR="00D14547" w:rsidRDefault="001B2C8A" w:rsidP="00D14547">
      <w:pPr>
        <w:pStyle w:val="Prrafodelista"/>
        <w:ind w:left="1440"/>
      </w:pPr>
      <w:r>
        <w:t>NB: u</w:t>
      </w:r>
      <w:r w:rsidR="00350572">
        <w:t xml:space="preserve">na </w:t>
      </w:r>
      <w:r w:rsidR="0058446D">
        <w:t>p</w:t>
      </w:r>
      <w:r w:rsidR="003A33D6">
        <w:t xml:space="preserve">rohibición </w:t>
      </w:r>
      <w:r w:rsidR="00350572">
        <w:t xml:space="preserve">contractual </w:t>
      </w:r>
      <w:r w:rsidR="003A33D6">
        <w:t>de exportación</w:t>
      </w:r>
      <w:r w:rsidR="00350572">
        <w:t xml:space="preserve"> se con</w:t>
      </w:r>
      <w:r>
        <w:t xml:space="preserve">sideraría “especialmente grave”, y estaría prohibida, </w:t>
      </w:r>
      <w:r w:rsidR="00350572">
        <w:t>en la medida en que incluya las ventas pasivas, pero no si se limitara a las ventas activas (y siempre que el laboratorio hubiera</w:t>
      </w:r>
      <w:r w:rsidR="00D14547">
        <w:t xml:space="preserve"> designado otro distribuidor en el país de exportación).</w:t>
      </w:r>
    </w:p>
    <w:p w:rsidR="00917FB5" w:rsidRDefault="00CC24DD" w:rsidP="00917FB5">
      <w:pPr>
        <w:pStyle w:val="Prrafodelista"/>
        <w:ind w:left="1080"/>
      </w:pPr>
      <w:r w:rsidRPr="00CC24DD">
        <w:rPr>
          <w:u w:val="single"/>
        </w:rPr>
        <w:t>Acuerdos de co-marketing</w:t>
      </w:r>
      <w:r>
        <w:t>: típicos acuerdos</w:t>
      </w:r>
      <w:r w:rsidR="000A7ACA">
        <w:t xml:space="preserve"> verticales entre laboratorios: </w:t>
      </w:r>
      <w:r>
        <w:t>el laboratorio fabricante designa a otro laboratorio como distribuidor exclusivo en un determinado te</w:t>
      </w:r>
      <w:r w:rsidR="000A7ACA">
        <w:t>rritorio y bajo marca diferente</w:t>
      </w:r>
      <w:r>
        <w:t>.</w:t>
      </w:r>
    </w:p>
    <w:p w:rsidR="004B238F" w:rsidRPr="004B238F" w:rsidRDefault="004B238F" w:rsidP="00917FB5">
      <w:pPr>
        <w:pStyle w:val="Prrafodelista"/>
        <w:ind w:left="1080"/>
      </w:pPr>
      <w:r>
        <w:t>Normalmente no se benefician del Reglamento 330/2010 al tratarse de acuerdos verticales entre competidores en el plazo de la fabricación.</w:t>
      </w:r>
    </w:p>
    <w:p w:rsidR="00917FB5" w:rsidRDefault="00D14547" w:rsidP="00917FB5">
      <w:pPr>
        <w:pStyle w:val="Prrafodelista"/>
        <w:ind w:left="1080"/>
      </w:pPr>
      <w:r>
        <w:t xml:space="preserve">Caso especial: los </w:t>
      </w:r>
      <w:r w:rsidRPr="00917FB5">
        <w:rPr>
          <w:u w:val="single"/>
        </w:rPr>
        <w:t xml:space="preserve">contratos </w:t>
      </w:r>
      <w:r w:rsidR="003A33D6" w:rsidRPr="00917FB5">
        <w:rPr>
          <w:u w:val="single"/>
        </w:rPr>
        <w:t xml:space="preserve">de </w:t>
      </w:r>
      <w:r w:rsidR="00B6517A" w:rsidRPr="00917FB5">
        <w:rPr>
          <w:u w:val="single"/>
        </w:rPr>
        <w:t xml:space="preserve">suministro de </w:t>
      </w:r>
      <w:r w:rsidR="003A33D6" w:rsidRPr="00917FB5">
        <w:rPr>
          <w:u w:val="single"/>
        </w:rPr>
        <w:t>doble precio en función de</w:t>
      </w:r>
      <w:r w:rsidR="007C4D0F" w:rsidRPr="00917FB5">
        <w:rPr>
          <w:u w:val="single"/>
        </w:rPr>
        <w:t>l</w:t>
      </w:r>
      <w:r w:rsidR="003A33D6" w:rsidRPr="00917FB5">
        <w:rPr>
          <w:u w:val="single"/>
        </w:rPr>
        <w:t xml:space="preserve"> destino</w:t>
      </w:r>
      <w:r>
        <w:t xml:space="preserve"> (i.e., precio </w:t>
      </w:r>
      <w:r w:rsidR="007C4D0F">
        <w:t xml:space="preserve">mayorista </w:t>
      </w:r>
      <w:r>
        <w:t>más elevado si el distribuidor exporta el producto</w:t>
      </w:r>
      <w:r w:rsidR="00A42F91">
        <w:t xml:space="preserve"> o revende a un exportador</w:t>
      </w:r>
      <w:r>
        <w:t>).</w:t>
      </w:r>
    </w:p>
    <w:p w:rsidR="007C4D0F" w:rsidRDefault="007C4D0F" w:rsidP="00917FB5">
      <w:pPr>
        <w:pStyle w:val="Prrafodelista"/>
        <w:ind w:left="1080"/>
      </w:pPr>
      <w:r>
        <w:t>Doctrina tradicional: infracción “por objeto” del art. 101.1 del TFUE</w:t>
      </w:r>
    </w:p>
    <w:p w:rsidR="00853DDD" w:rsidRPr="007A4861" w:rsidRDefault="007C4D0F" w:rsidP="00D14547">
      <w:pPr>
        <w:pStyle w:val="Prrafodelista"/>
        <w:ind w:left="1440"/>
        <w:rPr>
          <w:lang w:val="en-US"/>
        </w:rPr>
      </w:pPr>
      <w:r w:rsidRPr="007A4861">
        <w:rPr>
          <w:lang w:val="en-US"/>
        </w:rPr>
        <w:t>“</w:t>
      </w:r>
      <w:r w:rsidRPr="007A4861">
        <w:rPr>
          <w:i/>
          <w:lang w:val="en-US"/>
        </w:rPr>
        <w:t>Distillers</w:t>
      </w:r>
      <w:r w:rsidRPr="007A4861">
        <w:rPr>
          <w:lang w:val="en-US"/>
        </w:rPr>
        <w:t>”</w:t>
      </w:r>
    </w:p>
    <w:p w:rsidR="007C4D0F" w:rsidRPr="007A4861" w:rsidRDefault="007C4D0F" w:rsidP="00D14547">
      <w:pPr>
        <w:pStyle w:val="Prrafodelista"/>
        <w:ind w:left="1440"/>
        <w:rPr>
          <w:rFonts w:cstheme="minorHAnsi"/>
          <w:szCs w:val="20"/>
          <w:lang w:val="en-US"/>
        </w:rPr>
      </w:pPr>
      <w:r w:rsidRPr="007A4861">
        <w:rPr>
          <w:lang w:val="en-US"/>
        </w:rPr>
        <w:t>“</w:t>
      </w:r>
      <w:r w:rsidRPr="007A4861">
        <w:rPr>
          <w:rFonts w:cstheme="minorHAnsi"/>
          <w:i/>
          <w:szCs w:val="20"/>
          <w:lang w:val="en-US"/>
        </w:rPr>
        <w:t>Newitt / Dunlop Slazenger International</w:t>
      </w:r>
      <w:r w:rsidRPr="007A4861">
        <w:rPr>
          <w:rFonts w:cstheme="minorHAnsi"/>
          <w:szCs w:val="20"/>
          <w:lang w:val="en-US"/>
        </w:rPr>
        <w:t>”.</w:t>
      </w:r>
    </w:p>
    <w:p w:rsidR="00BC7166" w:rsidRPr="00BC7166" w:rsidRDefault="00BC7166" w:rsidP="00917FB5">
      <w:pPr>
        <w:pStyle w:val="Prrafodelista"/>
        <w:ind w:left="1080"/>
        <w:rPr>
          <w:rFonts w:cstheme="minorHAnsi"/>
          <w:szCs w:val="20"/>
        </w:rPr>
      </w:pPr>
      <w:r w:rsidRPr="00BC7166">
        <w:rPr>
          <w:rFonts w:cstheme="minorHAnsi"/>
          <w:szCs w:val="20"/>
        </w:rPr>
        <w:t xml:space="preserve">Aplicación al sector farmacéutico: </w:t>
      </w:r>
      <w:r w:rsidRPr="003A4785">
        <w:rPr>
          <w:rFonts w:cstheme="minorHAnsi"/>
          <w:i/>
          <w:szCs w:val="20"/>
        </w:rPr>
        <w:t>Glaxo España</w:t>
      </w:r>
    </w:p>
    <w:p w:rsidR="003A4785" w:rsidRDefault="00BC7166" w:rsidP="00BC7166">
      <w:pPr>
        <w:pStyle w:val="Prrafodelista"/>
        <w:numPr>
          <w:ilvl w:val="0"/>
          <w:numId w:val="10"/>
        </w:numPr>
        <w:rPr>
          <w:rFonts w:cstheme="minorHAnsi"/>
          <w:szCs w:val="20"/>
        </w:rPr>
      </w:pPr>
      <w:r>
        <w:rPr>
          <w:rFonts w:cstheme="minorHAnsi"/>
          <w:szCs w:val="20"/>
        </w:rPr>
        <w:t xml:space="preserve">Contratos con </w:t>
      </w:r>
      <w:r w:rsidR="003A4785">
        <w:rPr>
          <w:rFonts w:cstheme="minorHAnsi"/>
          <w:szCs w:val="20"/>
        </w:rPr>
        <w:t xml:space="preserve">propósito </w:t>
      </w:r>
      <w:r w:rsidR="007A4861">
        <w:rPr>
          <w:rFonts w:cstheme="minorHAnsi"/>
          <w:szCs w:val="20"/>
        </w:rPr>
        <w:t>incontrovertido</w:t>
      </w:r>
      <w:r w:rsidR="003A4785">
        <w:rPr>
          <w:rFonts w:cstheme="minorHAnsi"/>
          <w:szCs w:val="20"/>
        </w:rPr>
        <w:t xml:space="preserve"> de reducir las exportaciones desde España</w:t>
      </w:r>
    </w:p>
    <w:p w:rsidR="003A4785" w:rsidRDefault="003A4785" w:rsidP="00BC7166">
      <w:pPr>
        <w:pStyle w:val="Prrafodelista"/>
        <w:numPr>
          <w:ilvl w:val="0"/>
          <w:numId w:val="10"/>
        </w:numPr>
        <w:rPr>
          <w:rFonts w:cstheme="minorHAnsi"/>
          <w:szCs w:val="20"/>
        </w:rPr>
      </w:pPr>
      <w:r>
        <w:rPr>
          <w:rFonts w:cstheme="minorHAnsi"/>
          <w:szCs w:val="20"/>
        </w:rPr>
        <w:t>Precio específico de exportación</w:t>
      </w:r>
    </w:p>
    <w:p w:rsidR="00035B12" w:rsidRDefault="003A4785" w:rsidP="00BC7166">
      <w:pPr>
        <w:pStyle w:val="Prrafodelista"/>
        <w:numPr>
          <w:ilvl w:val="0"/>
          <w:numId w:val="10"/>
        </w:numPr>
        <w:rPr>
          <w:rFonts w:cstheme="minorHAnsi"/>
          <w:szCs w:val="20"/>
        </w:rPr>
      </w:pPr>
      <w:r>
        <w:rPr>
          <w:rFonts w:cstheme="minorHAnsi"/>
          <w:szCs w:val="20"/>
        </w:rPr>
        <w:t xml:space="preserve">Modelo creado </w:t>
      </w:r>
      <w:r w:rsidR="007A4861">
        <w:rPr>
          <w:rFonts w:cstheme="minorHAnsi"/>
          <w:szCs w:val="20"/>
        </w:rPr>
        <w:t xml:space="preserve">bajo </w:t>
      </w:r>
      <w:r>
        <w:rPr>
          <w:rFonts w:cstheme="minorHAnsi"/>
          <w:szCs w:val="20"/>
        </w:rPr>
        <w:t>la redacción original del art. 100.2 de la Ley del Medicamento, que establecía un precio intervenido para todos los productos financiables con cargo a fondos públicos “</w:t>
      </w:r>
      <w:r w:rsidRPr="00CD027E">
        <w:rPr>
          <w:rFonts w:cstheme="minorHAnsi"/>
          <w:i/>
          <w:szCs w:val="20"/>
          <w:u w:val="single"/>
        </w:rPr>
        <w:t>comercializados</w:t>
      </w:r>
      <w:r>
        <w:rPr>
          <w:rFonts w:cstheme="minorHAnsi"/>
          <w:szCs w:val="20"/>
        </w:rPr>
        <w:t>” (y no “</w:t>
      </w:r>
      <w:r w:rsidRPr="003A4785">
        <w:rPr>
          <w:rFonts w:cstheme="minorHAnsi"/>
          <w:i/>
          <w:szCs w:val="20"/>
        </w:rPr>
        <w:t>dispensados</w:t>
      </w:r>
      <w:r>
        <w:rPr>
          <w:rFonts w:cstheme="minorHAnsi"/>
          <w:szCs w:val="20"/>
        </w:rPr>
        <w:t>”) en España: el modelo Glaxo iba específicamente dirigido a incrementar el precio de los productos financiables comercializados en España pero posteriormente expo</w:t>
      </w:r>
      <w:r w:rsidR="007A48FC">
        <w:rPr>
          <w:rFonts w:cstheme="minorHAnsi"/>
          <w:szCs w:val="20"/>
        </w:rPr>
        <w:t xml:space="preserve">rtados a otros Estados miembros: </w:t>
      </w:r>
      <w:r w:rsidR="00CE5157">
        <w:rPr>
          <w:rFonts w:cstheme="minorHAnsi"/>
          <w:szCs w:val="20"/>
        </w:rPr>
        <w:t xml:space="preserve">i.e., </w:t>
      </w:r>
      <w:r w:rsidR="007A48FC" w:rsidRPr="007A48FC">
        <w:rPr>
          <w:rFonts w:cstheme="minorHAnsi"/>
          <w:szCs w:val="20"/>
          <w:u w:val="single"/>
        </w:rPr>
        <w:t xml:space="preserve">aplicación de un sobreprecio </w:t>
      </w:r>
      <w:r w:rsidR="00726977">
        <w:rPr>
          <w:rFonts w:cstheme="minorHAnsi"/>
          <w:szCs w:val="20"/>
          <w:u w:val="single"/>
        </w:rPr>
        <w:t xml:space="preserve">o recargo </w:t>
      </w:r>
      <w:r w:rsidR="007A48FC" w:rsidRPr="007A48FC">
        <w:rPr>
          <w:rFonts w:cstheme="minorHAnsi"/>
          <w:szCs w:val="20"/>
          <w:u w:val="single"/>
        </w:rPr>
        <w:t>de exportación al precio intervenido</w:t>
      </w:r>
      <w:r w:rsidR="007A48FC">
        <w:rPr>
          <w:rFonts w:cstheme="minorHAnsi"/>
          <w:szCs w:val="20"/>
          <w:u w:val="single"/>
        </w:rPr>
        <w:t xml:space="preserve"> nacional</w:t>
      </w:r>
      <w:r w:rsidR="007A48FC">
        <w:rPr>
          <w:rFonts w:cstheme="minorHAnsi"/>
          <w:szCs w:val="20"/>
        </w:rPr>
        <w:t>.</w:t>
      </w:r>
    </w:p>
    <w:p w:rsidR="00F21EBB" w:rsidRPr="00BC7166" w:rsidRDefault="00035B12" w:rsidP="00BC7166">
      <w:pPr>
        <w:pStyle w:val="Prrafodelista"/>
        <w:numPr>
          <w:ilvl w:val="0"/>
          <w:numId w:val="10"/>
        </w:numPr>
        <w:rPr>
          <w:rFonts w:cstheme="minorHAnsi"/>
          <w:szCs w:val="20"/>
        </w:rPr>
      </w:pPr>
      <w:r>
        <w:rPr>
          <w:rFonts w:cstheme="minorHAnsi"/>
          <w:szCs w:val="20"/>
        </w:rPr>
        <w:t xml:space="preserve">Sistema de doble precio creado por los contratos, no por la Ley </w:t>
      </w:r>
    </w:p>
    <w:p w:rsidR="00917FB5" w:rsidRDefault="003A4785" w:rsidP="00917FB5">
      <w:pPr>
        <w:pStyle w:val="Prrafodelista"/>
        <w:ind w:left="1080"/>
      </w:pPr>
      <w:r>
        <w:t xml:space="preserve">Modelo considerado incompatible </w:t>
      </w:r>
      <w:r w:rsidR="000E2B9C">
        <w:t>“</w:t>
      </w:r>
      <w:r w:rsidR="00DF3242">
        <w:t>por objeto</w:t>
      </w:r>
      <w:r w:rsidR="000E2B9C">
        <w:t>”</w:t>
      </w:r>
      <w:r w:rsidR="00DF3242">
        <w:t xml:space="preserve"> </w:t>
      </w:r>
      <w:r>
        <w:t xml:space="preserve">con el art. 101.1 </w:t>
      </w:r>
      <w:r w:rsidR="00506950">
        <w:t xml:space="preserve">TFUE </w:t>
      </w:r>
      <w:r>
        <w:t xml:space="preserve">por la Comisión </w:t>
      </w:r>
      <w:r w:rsidRPr="00917FB5">
        <w:rPr>
          <w:rFonts w:cstheme="minorHAnsi"/>
          <w:szCs w:val="20"/>
        </w:rPr>
        <w:t>Europea</w:t>
      </w:r>
      <w:r>
        <w:t xml:space="preserve"> </w:t>
      </w:r>
      <w:r w:rsidR="00E50EAF">
        <w:t xml:space="preserve">y no susceptible de exención por eficiencias bajo el art. 101.3 </w:t>
      </w:r>
      <w:r>
        <w:t>(Decisión de 2001).</w:t>
      </w:r>
    </w:p>
    <w:p w:rsidR="00DF3242" w:rsidRDefault="00DF3242" w:rsidP="00917FB5">
      <w:pPr>
        <w:pStyle w:val="Prrafodelista"/>
        <w:ind w:left="1080"/>
      </w:pPr>
      <w:r>
        <w:t xml:space="preserve">Pero: </w:t>
      </w:r>
      <w:r w:rsidR="00035B12">
        <w:t xml:space="preserve">Decisión </w:t>
      </w:r>
      <w:r w:rsidR="00035B12" w:rsidRPr="00917FB5">
        <w:rPr>
          <w:u w:val="single"/>
        </w:rPr>
        <w:t xml:space="preserve">anulada </w:t>
      </w:r>
      <w:r w:rsidR="00E50EAF" w:rsidRPr="00917FB5">
        <w:rPr>
          <w:u w:val="single"/>
        </w:rPr>
        <w:t>parcialmente</w:t>
      </w:r>
      <w:r w:rsidR="00E50EAF" w:rsidRPr="00506DA1">
        <w:t xml:space="preserve"> </w:t>
      </w:r>
      <w:r w:rsidR="00035B12">
        <w:t>por el actual Tribunal</w:t>
      </w:r>
      <w:r>
        <w:t xml:space="preserve"> General en 2006:</w:t>
      </w:r>
    </w:p>
    <w:p w:rsidR="006569E1" w:rsidRDefault="00726977" w:rsidP="00DF3242">
      <w:pPr>
        <w:pStyle w:val="Prrafodelista"/>
        <w:numPr>
          <w:ilvl w:val="0"/>
          <w:numId w:val="10"/>
        </w:numPr>
      </w:pPr>
      <w:r>
        <w:t>El TG no consideró</w:t>
      </w:r>
      <w:r w:rsidR="006569E1">
        <w:t xml:space="preserve"> el sistema de doble precio </w:t>
      </w:r>
      <w:r w:rsidR="00DF3242">
        <w:t>restrictivo “por objeto”</w:t>
      </w:r>
      <w:r w:rsidR="005469E2">
        <w:t xml:space="preserve"> porque</w:t>
      </w:r>
      <w:r w:rsidR="00DF3242">
        <w:t xml:space="preserve">: (i) la limitación del comercio paralelo </w:t>
      </w:r>
      <w:r w:rsidR="000A7ACA">
        <w:t xml:space="preserve">de medicamentos </w:t>
      </w:r>
      <w:r w:rsidR="00DF3242">
        <w:t xml:space="preserve">no equivale en sí misma a una “restricción de la competencia”; </w:t>
      </w:r>
      <w:r w:rsidR="00E4510D">
        <w:t>(ii)</w:t>
      </w:r>
      <w:r w:rsidR="006569E1">
        <w:t xml:space="preserve"> la restricción “por objeto” exige un perjuicio a los consumidores finales</w:t>
      </w:r>
      <w:r w:rsidR="006A43A2">
        <w:t xml:space="preserve"> (pacientes), lo que no sucedía necesariamente</w:t>
      </w:r>
      <w:r w:rsidR="006569E1">
        <w:t xml:space="preserve"> con los sistemas de doble precio de medicamentos.</w:t>
      </w:r>
      <w:r w:rsidR="00AA508E">
        <w:t xml:space="preserve"> El TG entendió que el sistema de doble precio de Glaxo </w:t>
      </w:r>
      <w:r w:rsidR="00E50EAF">
        <w:t xml:space="preserve">era sin embargo </w:t>
      </w:r>
      <w:r w:rsidR="00AA508E">
        <w:t>restrictivo “por sus efectos”.</w:t>
      </w:r>
    </w:p>
    <w:p w:rsidR="006A43A2" w:rsidRDefault="006569E1" w:rsidP="006A43A2">
      <w:pPr>
        <w:pStyle w:val="Prrafodelista"/>
        <w:numPr>
          <w:ilvl w:val="0"/>
          <w:numId w:val="10"/>
        </w:numPr>
      </w:pPr>
      <w:r>
        <w:t xml:space="preserve">La Comisión debió haber examinado la existencia de eficiencias bajo el art. 101.3 </w:t>
      </w:r>
      <w:r w:rsidR="00506950">
        <w:t xml:space="preserve">TFUE </w:t>
      </w:r>
      <w:r>
        <w:t xml:space="preserve">consistentes en </w:t>
      </w:r>
      <w:r w:rsidR="00AA508E">
        <w:t>una mayor inversión en I+D.</w:t>
      </w:r>
    </w:p>
    <w:p w:rsidR="00917FB5" w:rsidRDefault="00C21D16" w:rsidP="00917FB5">
      <w:pPr>
        <w:pStyle w:val="Prrafodelista"/>
        <w:ind w:left="1080"/>
      </w:pPr>
      <w:r>
        <w:t xml:space="preserve">El TJUE confirmó en 2009 la </w:t>
      </w:r>
      <w:r w:rsidR="00AA508E">
        <w:t>Sentencia del TG, si bien criticó algunos aspectos (</w:t>
      </w:r>
      <w:r>
        <w:t xml:space="preserve">p.ej. </w:t>
      </w:r>
      <w:r w:rsidR="00AA508E">
        <w:t xml:space="preserve">el TJUE sí entendió que el sistema </w:t>
      </w:r>
      <w:r w:rsidR="005469E2">
        <w:t xml:space="preserve">específicamente </w:t>
      </w:r>
      <w:r>
        <w:t xml:space="preserve">dirigido a impedir el comercio paralelo </w:t>
      </w:r>
      <w:r w:rsidR="00AA508E">
        <w:t>era restrictivo “por su objeto”</w:t>
      </w:r>
      <w:r>
        <w:t>).</w:t>
      </w:r>
      <w:r w:rsidR="00506950">
        <w:t xml:space="preserve"> No cuestionó que el sistema</w:t>
      </w:r>
      <w:r w:rsidR="00506DA1">
        <w:t xml:space="preserve"> de doble precio</w:t>
      </w:r>
      <w:r w:rsidR="00506950">
        <w:t xml:space="preserve"> podía resultar conforme con el art. 101.3 sobre</w:t>
      </w:r>
      <w:r w:rsidR="006A43A2">
        <w:t xml:space="preserve"> la</w:t>
      </w:r>
      <w:r w:rsidR="00506950">
        <w:t xml:space="preserve"> base de eficiencias</w:t>
      </w:r>
      <w:r w:rsidR="006A43A2">
        <w:t xml:space="preserve"> en beneficio de los consumidores</w:t>
      </w:r>
      <w:r w:rsidR="00506950">
        <w:t xml:space="preserve"> (I+D u otras).</w:t>
      </w:r>
    </w:p>
    <w:p w:rsidR="00917FB5" w:rsidRDefault="009C4FFC" w:rsidP="00917FB5">
      <w:pPr>
        <w:pStyle w:val="Prrafodelista"/>
        <w:ind w:left="1080"/>
        <w:rPr>
          <w:rFonts w:cstheme="minorHAnsi"/>
          <w:szCs w:val="20"/>
        </w:rPr>
      </w:pPr>
      <w:r>
        <w:t xml:space="preserve">En cualquier caso, no cabe confundir los </w:t>
      </w:r>
      <w:r w:rsidRPr="00917FB5">
        <w:rPr>
          <w:u w:val="single"/>
        </w:rPr>
        <w:t>contratos de doble precio en función del destino (“modelo Glaxo”)</w:t>
      </w:r>
      <w:r>
        <w:t xml:space="preserve"> con </w:t>
      </w:r>
      <w:r w:rsidR="007A4861" w:rsidRPr="007A4861">
        <w:rPr>
          <w:u w:val="single"/>
        </w:rPr>
        <w:t xml:space="preserve">las políticas </w:t>
      </w:r>
      <w:r w:rsidRPr="00917FB5">
        <w:rPr>
          <w:u w:val="single"/>
        </w:rPr>
        <w:t>de precio libre</w:t>
      </w:r>
      <w:r>
        <w:t xml:space="preserve"> </w:t>
      </w:r>
      <w:r w:rsidR="007A4861">
        <w:t>implantadas</w:t>
      </w:r>
      <w:r>
        <w:t xml:space="preserve"> al amparo de </w:t>
      </w:r>
      <w:r w:rsidRPr="00917FB5">
        <w:rPr>
          <w:rFonts w:cstheme="minorHAnsi"/>
          <w:szCs w:val="20"/>
        </w:rPr>
        <w:t xml:space="preserve">redacción modificada del </w:t>
      </w:r>
      <w:r w:rsidR="0083510D" w:rsidRPr="00917FB5">
        <w:rPr>
          <w:rFonts w:cstheme="minorHAnsi"/>
          <w:szCs w:val="20"/>
        </w:rPr>
        <w:t xml:space="preserve">antiguo </w:t>
      </w:r>
      <w:r w:rsidRPr="00917FB5">
        <w:rPr>
          <w:rFonts w:cstheme="minorHAnsi"/>
          <w:szCs w:val="20"/>
        </w:rPr>
        <w:t>art. 100.2 de la Ley del Medicamento a partir del 1.1.2000.</w:t>
      </w:r>
    </w:p>
    <w:p w:rsidR="007D7AC4" w:rsidRDefault="00125797" w:rsidP="007D7AC4">
      <w:pPr>
        <w:pStyle w:val="Prrafodelista"/>
        <w:ind w:left="1080"/>
        <w:rPr>
          <w:rFonts w:cstheme="minorHAnsi"/>
          <w:szCs w:val="20"/>
        </w:rPr>
      </w:pPr>
      <w:r w:rsidRPr="00917FB5">
        <w:rPr>
          <w:rFonts w:cstheme="minorHAnsi"/>
          <w:szCs w:val="20"/>
        </w:rPr>
        <w:t xml:space="preserve">El nuevo texto legal </w:t>
      </w:r>
      <w:r w:rsidR="009C4FFC" w:rsidRPr="00917FB5">
        <w:rPr>
          <w:rFonts w:cstheme="minorHAnsi"/>
          <w:szCs w:val="20"/>
        </w:rPr>
        <w:t>establec</w:t>
      </w:r>
      <w:r w:rsidR="00F6538D" w:rsidRPr="00917FB5">
        <w:rPr>
          <w:rFonts w:cstheme="minorHAnsi"/>
          <w:szCs w:val="20"/>
        </w:rPr>
        <w:t>ió</w:t>
      </w:r>
      <w:r w:rsidR="009C4FFC" w:rsidRPr="00917FB5">
        <w:rPr>
          <w:rFonts w:cstheme="minorHAnsi"/>
          <w:szCs w:val="20"/>
        </w:rPr>
        <w:t xml:space="preserve"> un precio intervenido </w:t>
      </w:r>
      <w:r w:rsidR="00F6538D" w:rsidRPr="00917FB5">
        <w:rPr>
          <w:rFonts w:cstheme="minorHAnsi"/>
          <w:szCs w:val="20"/>
        </w:rPr>
        <w:t xml:space="preserve">solo </w:t>
      </w:r>
      <w:r w:rsidR="009C4FFC" w:rsidRPr="00917FB5">
        <w:rPr>
          <w:rFonts w:cstheme="minorHAnsi"/>
          <w:szCs w:val="20"/>
        </w:rPr>
        <w:t xml:space="preserve">para los </w:t>
      </w:r>
      <w:r w:rsidR="006A43A2">
        <w:rPr>
          <w:rFonts w:cstheme="minorHAnsi"/>
          <w:szCs w:val="20"/>
        </w:rPr>
        <w:t xml:space="preserve">medicamentos </w:t>
      </w:r>
      <w:r w:rsidR="009C4FFC" w:rsidRPr="00917FB5">
        <w:rPr>
          <w:rFonts w:cstheme="minorHAnsi"/>
          <w:szCs w:val="20"/>
        </w:rPr>
        <w:t>financiables “</w:t>
      </w:r>
      <w:r w:rsidR="009C4FFC" w:rsidRPr="00917FB5">
        <w:rPr>
          <w:rFonts w:cstheme="minorHAnsi"/>
          <w:i/>
          <w:szCs w:val="20"/>
          <w:u w:val="single"/>
        </w:rPr>
        <w:t>dispensados</w:t>
      </w:r>
      <w:r w:rsidR="00F6538D" w:rsidRPr="00917FB5">
        <w:rPr>
          <w:rFonts w:cstheme="minorHAnsi"/>
          <w:szCs w:val="20"/>
        </w:rPr>
        <w:t>”</w:t>
      </w:r>
      <w:r w:rsidR="009C4FFC" w:rsidRPr="00917FB5">
        <w:rPr>
          <w:rFonts w:cstheme="minorHAnsi"/>
          <w:szCs w:val="20"/>
        </w:rPr>
        <w:t xml:space="preserve"> en España</w:t>
      </w:r>
      <w:r w:rsidR="00F6538D" w:rsidRPr="00917FB5">
        <w:rPr>
          <w:rFonts w:cstheme="minorHAnsi"/>
          <w:szCs w:val="20"/>
        </w:rPr>
        <w:t xml:space="preserve">, de forma que el resto de medicamentos comercializados en España </w:t>
      </w:r>
      <w:r w:rsidR="00A42F91" w:rsidRPr="00917FB5">
        <w:rPr>
          <w:rFonts w:cstheme="minorHAnsi"/>
          <w:szCs w:val="20"/>
        </w:rPr>
        <w:t xml:space="preserve">(financiables o no) </w:t>
      </w:r>
      <w:r w:rsidR="00F6538D" w:rsidRPr="00917FB5">
        <w:rPr>
          <w:rFonts w:cstheme="minorHAnsi"/>
          <w:szCs w:val="20"/>
        </w:rPr>
        <w:t>tenían precio libre.</w:t>
      </w:r>
      <w:r w:rsidR="00A42F91" w:rsidRPr="00917FB5">
        <w:rPr>
          <w:rFonts w:cstheme="minorHAnsi"/>
          <w:szCs w:val="20"/>
        </w:rPr>
        <w:t xml:space="preserve"> Esto es, la Ley asegura que </w:t>
      </w:r>
      <w:r w:rsidR="00A42F91" w:rsidRPr="00917FB5">
        <w:rPr>
          <w:rFonts w:cstheme="minorHAnsi"/>
          <w:szCs w:val="20"/>
          <w:u w:val="single"/>
        </w:rPr>
        <w:t>todos</w:t>
      </w:r>
      <w:r w:rsidR="00A42F91" w:rsidRPr="00917FB5">
        <w:rPr>
          <w:rFonts w:cstheme="minorHAnsi"/>
          <w:szCs w:val="20"/>
        </w:rPr>
        <w:t xml:space="preserve"> los medicamentos financiables dispensados en España (y </w:t>
      </w:r>
      <w:r w:rsidR="00A42F91" w:rsidRPr="00917FB5">
        <w:rPr>
          <w:rFonts w:cstheme="minorHAnsi"/>
          <w:szCs w:val="20"/>
          <w:u w:val="single"/>
        </w:rPr>
        <w:t>solo</w:t>
      </w:r>
      <w:r w:rsidR="00A42F91" w:rsidRPr="00917FB5">
        <w:rPr>
          <w:rFonts w:cstheme="minorHAnsi"/>
          <w:szCs w:val="20"/>
        </w:rPr>
        <w:t xml:space="preserve"> ellos) se venderán obligatoriamente </w:t>
      </w:r>
      <w:r w:rsidR="00FA3B79" w:rsidRPr="00917FB5">
        <w:rPr>
          <w:rFonts w:cstheme="minorHAnsi"/>
          <w:szCs w:val="20"/>
        </w:rPr>
        <w:t xml:space="preserve">como máximo </w:t>
      </w:r>
      <w:r w:rsidR="00463B93" w:rsidRPr="00917FB5">
        <w:rPr>
          <w:rFonts w:cstheme="minorHAnsi"/>
          <w:szCs w:val="20"/>
        </w:rPr>
        <w:t>a un Precio I</w:t>
      </w:r>
      <w:r w:rsidR="00A42F91" w:rsidRPr="00917FB5">
        <w:rPr>
          <w:rFonts w:cstheme="minorHAnsi"/>
          <w:szCs w:val="20"/>
        </w:rPr>
        <w:t xml:space="preserve">ntervenido, </w:t>
      </w:r>
      <w:r w:rsidR="00A42F91" w:rsidRPr="00917FB5">
        <w:rPr>
          <w:rFonts w:cstheme="minorHAnsi"/>
          <w:b/>
          <w:szCs w:val="20"/>
          <w:u w:val="single"/>
        </w:rPr>
        <w:t xml:space="preserve">limitando así </w:t>
      </w:r>
      <w:r w:rsidR="004B238F">
        <w:rPr>
          <w:rFonts w:cstheme="minorHAnsi"/>
          <w:b/>
          <w:szCs w:val="20"/>
          <w:u w:val="single"/>
        </w:rPr>
        <w:t xml:space="preserve">al máximo </w:t>
      </w:r>
      <w:r w:rsidR="00A42F91" w:rsidRPr="00917FB5">
        <w:rPr>
          <w:rFonts w:cstheme="minorHAnsi"/>
          <w:b/>
          <w:szCs w:val="20"/>
          <w:u w:val="single"/>
        </w:rPr>
        <w:t xml:space="preserve">el efecto de la regulación de precios a productos consumidos en España </w:t>
      </w:r>
      <w:r w:rsidR="00463B93" w:rsidRPr="00917FB5">
        <w:rPr>
          <w:rFonts w:cstheme="minorHAnsi"/>
          <w:b/>
          <w:szCs w:val="20"/>
          <w:u w:val="single"/>
        </w:rPr>
        <w:t xml:space="preserve">y </w:t>
      </w:r>
      <w:r w:rsidR="00A42F91" w:rsidRPr="00917FB5">
        <w:rPr>
          <w:rFonts w:cstheme="minorHAnsi"/>
          <w:b/>
          <w:szCs w:val="20"/>
          <w:u w:val="single"/>
        </w:rPr>
        <w:t xml:space="preserve">sin extenderlo </w:t>
      </w:r>
      <w:r w:rsidR="0083510D" w:rsidRPr="00917FB5">
        <w:rPr>
          <w:rFonts w:cstheme="minorHAnsi"/>
          <w:b/>
          <w:szCs w:val="20"/>
          <w:u w:val="single"/>
        </w:rPr>
        <w:t xml:space="preserve">por tanto </w:t>
      </w:r>
      <w:r w:rsidR="00A42F91" w:rsidRPr="00917FB5">
        <w:rPr>
          <w:rFonts w:cstheme="minorHAnsi"/>
          <w:b/>
          <w:szCs w:val="20"/>
          <w:u w:val="single"/>
        </w:rPr>
        <w:t xml:space="preserve">a </w:t>
      </w:r>
      <w:r w:rsidR="00917FB5">
        <w:rPr>
          <w:rFonts w:cstheme="minorHAnsi"/>
          <w:b/>
          <w:szCs w:val="20"/>
          <w:u w:val="single"/>
        </w:rPr>
        <w:t>fá</w:t>
      </w:r>
      <w:r w:rsidR="00FA3B79" w:rsidRPr="00917FB5">
        <w:rPr>
          <w:rFonts w:cstheme="minorHAnsi"/>
          <w:b/>
          <w:szCs w:val="20"/>
          <w:u w:val="single"/>
        </w:rPr>
        <w:t>rmacos</w:t>
      </w:r>
      <w:r w:rsidR="00A42F91" w:rsidRPr="00917FB5">
        <w:rPr>
          <w:rFonts w:cstheme="minorHAnsi"/>
          <w:b/>
          <w:szCs w:val="20"/>
          <w:u w:val="single"/>
        </w:rPr>
        <w:t xml:space="preserve"> consumidos fuera de España</w:t>
      </w:r>
      <w:r w:rsidR="00463B93" w:rsidRPr="00917FB5">
        <w:rPr>
          <w:rFonts w:cstheme="minorHAnsi"/>
          <w:szCs w:val="20"/>
        </w:rPr>
        <w:t>.</w:t>
      </w:r>
    </w:p>
    <w:p w:rsidR="007D7AC4" w:rsidRDefault="00463B93" w:rsidP="007D7AC4">
      <w:pPr>
        <w:pStyle w:val="Prrafodelista"/>
        <w:ind w:left="1080"/>
        <w:rPr>
          <w:rFonts w:cstheme="minorHAnsi"/>
          <w:szCs w:val="20"/>
        </w:rPr>
      </w:pPr>
      <w:r w:rsidRPr="007D7AC4">
        <w:rPr>
          <w:rFonts w:cstheme="minorHAnsi"/>
          <w:szCs w:val="20"/>
        </w:rPr>
        <w:t xml:space="preserve">Por ello, en la medida en que </w:t>
      </w:r>
      <w:r w:rsidR="007A4861">
        <w:rPr>
          <w:rFonts w:cstheme="minorHAnsi"/>
          <w:szCs w:val="20"/>
        </w:rPr>
        <w:t xml:space="preserve">la política </w:t>
      </w:r>
      <w:r w:rsidRPr="007D7AC4">
        <w:rPr>
          <w:rFonts w:cstheme="minorHAnsi"/>
          <w:szCs w:val="20"/>
        </w:rPr>
        <w:t xml:space="preserve">de un laboratorio </w:t>
      </w:r>
      <w:r w:rsidR="007A4861">
        <w:rPr>
          <w:rFonts w:cstheme="minorHAnsi"/>
          <w:szCs w:val="20"/>
        </w:rPr>
        <w:t xml:space="preserve">y en consecuencia sus contratos </w:t>
      </w:r>
      <w:r w:rsidRPr="007D7AC4">
        <w:rPr>
          <w:rFonts w:cstheme="minorHAnsi"/>
          <w:szCs w:val="20"/>
        </w:rPr>
        <w:t xml:space="preserve">se limiten a </w:t>
      </w:r>
      <w:r w:rsidR="0083510D" w:rsidRPr="007D7AC4">
        <w:rPr>
          <w:rFonts w:cstheme="minorHAnsi"/>
          <w:szCs w:val="20"/>
        </w:rPr>
        <w:t>recoger</w:t>
      </w:r>
      <w:r w:rsidRPr="007D7AC4">
        <w:rPr>
          <w:rFonts w:cstheme="minorHAnsi"/>
          <w:szCs w:val="20"/>
        </w:rPr>
        <w:t xml:space="preserve"> (i) un precio libre y (ii) un mecanismo de reemplazo </w:t>
      </w:r>
      <w:r w:rsidRPr="007D7AC4">
        <w:rPr>
          <w:rFonts w:cstheme="minorHAnsi"/>
          <w:szCs w:val="20"/>
          <w:u w:val="single"/>
        </w:rPr>
        <w:t>automático</w:t>
      </w:r>
      <w:r w:rsidR="0083510D" w:rsidRPr="007D7AC4">
        <w:rPr>
          <w:rFonts w:cstheme="minorHAnsi"/>
          <w:szCs w:val="20"/>
        </w:rPr>
        <w:t xml:space="preserve"> del precio libre </w:t>
      </w:r>
      <w:r w:rsidRPr="007D7AC4">
        <w:rPr>
          <w:rFonts w:cstheme="minorHAnsi"/>
          <w:szCs w:val="20"/>
        </w:rPr>
        <w:t>por el Precio Intervenido</w:t>
      </w:r>
      <w:r w:rsidR="0083510D" w:rsidRPr="007D7AC4">
        <w:rPr>
          <w:rFonts w:cstheme="minorHAnsi"/>
          <w:szCs w:val="20"/>
        </w:rPr>
        <w:t xml:space="preserve"> si se cumplen las condiciones legales establecidas por el antiguo art. 100.2, no se tratará de un sistema de “doble precio” (modelo Glaxo), sino de un modelo diferente (modelo de precio libre).</w:t>
      </w:r>
    </w:p>
    <w:p w:rsidR="005A341C" w:rsidRDefault="0083510D" w:rsidP="007D7AC4">
      <w:pPr>
        <w:pStyle w:val="Prrafodelista"/>
        <w:ind w:left="1080"/>
        <w:rPr>
          <w:rFonts w:cstheme="minorHAnsi"/>
          <w:szCs w:val="20"/>
        </w:rPr>
      </w:pPr>
      <w:r w:rsidRPr="007D7AC4">
        <w:rPr>
          <w:rFonts w:cstheme="minorHAnsi"/>
          <w:szCs w:val="20"/>
        </w:rPr>
        <w:t>La antigua CNC ya consideró en 2009</w:t>
      </w:r>
      <w:r w:rsidR="007A4861">
        <w:rPr>
          <w:rFonts w:cstheme="minorHAnsi"/>
          <w:szCs w:val="20"/>
        </w:rPr>
        <w:t>, y en varias resoluciones anteriores,</w:t>
      </w:r>
      <w:r w:rsidRPr="007D7AC4">
        <w:rPr>
          <w:rFonts w:cstheme="minorHAnsi"/>
          <w:szCs w:val="20"/>
        </w:rPr>
        <w:t xml:space="preserve"> que el modelo de precio libre no resulta</w:t>
      </w:r>
      <w:r w:rsidR="00966388">
        <w:rPr>
          <w:rFonts w:cstheme="minorHAnsi"/>
          <w:szCs w:val="20"/>
        </w:rPr>
        <w:t>ba</w:t>
      </w:r>
      <w:r w:rsidRPr="007D7AC4">
        <w:rPr>
          <w:rFonts w:cstheme="minorHAnsi"/>
          <w:szCs w:val="20"/>
        </w:rPr>
        <w:t xml:space="preserve"> contrario al art. 1 / 101, si bien</w:t>
      </w:r>
      <w:r w:rsidR="000B028F" w:rsidRPr="007D7AC4">
        <w:rPr>
          <w:rFonts w:cstheme="minorHAnsi"/>
          <w:szCs w:val="20"/>
        </w:rPr>
        <w:t xml:space="preserve"> la Audiencia Nacional </w:t>
      </w:r>
      <w:r w:rsidR="007A4861">
        <w:rPr>
          <w:rFonts w:cstheme="minorHAnsi"/>
          <w:szCs w:val="20"/>
        </w:rPr>
        <w:t xml:space="preserve">(y posteriormente el TS) </w:t>
      </w:r>
      <w:r w:rsidR="000B028F" w:rsidRPr="007D7AC4">
        <w:rPr>
          <w:rFonts w:cstheme="minorHAnsi"/>
          <w:szCs w:val="20"/>
        </w:rPr>
        <w:t xml:space="preserve">anuló </w:t>
      </w:r>
      <w:r w:rsidR="00BF272E">
        <w:rPr>
          <w:rFonts w:cstheme="minorHAnsi"/>
          <w:szCs w:val="20"/>
        </w:rPr>
        <w:t xml:space="preserve">en 2011 </w:t>
      </w:r>
      <w:r w:rsidR="000B028F" w:rsidRPr="007D7AC4">
        <w:rPr>
          <w:rFonts w:cstheme="minorHAnsi"/>
          <w:szCs w:val="20"/>
        </w:rPr>
        <w:t xml:space="preserve">el archivo de </w:t>
      </w:r>
      <w:r w:rsidR="007A4861">
        <w:rPr>
          <w:rFonts w:cstheme="minorHAnsi"/>
          <w:szCs w:val="20"/>
        </w:rPr>
        <w:t xml:space="preserve">dos de </w:t>
      </w:r>
      <w:r w:rsidR="000B028F" w:rsidRPr="007D7AC4">
        <w:rPr>
          <w:rFonts w:cstheme="minorHAnsi"/>
          <w:szCs w:val="20"/>
        </w:rPr>
        <w:t>la</w:t>
      </w:r>
      <w:r w:rsidR="007A4861">
        <w:rPr>
          <w:rFonts w:cstheme="minorHAnsi"/>
          <w:szCs w:val="20"/>
        </w:rPr>
        <w:t>s</w:t>
      </w:r>
      <w:r w:rsidR="000B028F" w:rsidRPr="007D7AC4">
        <w:rPr>
          <w:rFonts w:cstheme="minorHAnsi"/>
          <w:szCs w:val="20"/>
        </w:rPr>
        <w:t xml:space="preserve"> denuncia</w:t>
      </w:r>
      <w:r w:rsidR="007A4861">
        <w:rPr>
          <w:rFonts w:cstheme="minorHAnsi"/>
          <w:szCs w:val="20"/>
        </w:rPr>
        <w:t>s</w:t>
      </w:r>
      <w:r w:rsidR="000B028F" w:rsidRPr="007D7AC4">
        <w:rPr>
          <w:rFonts w:cstheme="minorHAnsi"/>
          <w:szCs w:val="20"/>
        </w:rPr>
        <w:t xml:space="preserve"> y consideró que la CNMC debía examinar </w:t>
      </w:r>
      <w:r w:rsidR="007A4861">
        <w:rPr>
          <w:rFonts w:cstheme="minorHAnsi"/>
          <w:szCs w:val="20"/>
        </w:rPr>
        <w:t xml:space="preserve">los </w:t>
      </w:r>
      <w:r w:rsidR="000B028F" w:rsidRPr="007D7AC4">
        <w:rPr>
          <w:rFonts w:cstheme="minorHAnsi"/>
          <w:szCs w:val="20"/>
        </w:rPr>
        <w:t>modelo</w:t>
      </w:r>
      <w:r w:rsidR="007A4861">
        <w:rPr>
          <w:rFonts w:cstheme="minorHAnsi"/>
          <w:szCs w:val="20"/>
        </w:rPr>
        <w:t>s</w:t>
      </w:r>
      <w:r w:rsidR="000B028F" w:rsidRPr="007D7AC4">
        <w:rPr>
          <w:rFonts w:cstheme="minorHAnsi"/>
          <w:szCs w:val="20"/>
        </w:rPr>
        <w:t xml:space="preserve"> con mayor detenimiento</w:t>
      </w:r>
      <w:r w:rsidR="005A341C">
        <w:rPr>
          <w:rFonts w:cstheme="minorHAnsi"/>
          <w:szCs w:val="20"/>
        </w:rPr>
        <w:t>, incluyendo la posibilidad de aplicar el párrafo 3 de los artículos 1 / 101 y la justificación por eficiencias.</w:t>
      </w:r>
    </w:p>
    <w:p w:rsidR="00361A13" w:rsidRDefault="000B028F" w:rsidP="007D7AC4">
      <w:pPr>
        <w:pStyle w:val="Prrafodelista"/>
        <w:ind w:left="1080"/>
        <w:rPr>
          <w:rFonts w:cstheme="minorHAnsi"/>
          <w:szCs w:val="20"/>
        </w:rPr>
      </w:pPr>
      <w:r w:rsidRPr="007D7AC4">
        <w:rPr>
          <w:rFonts w:cstheme="minorHAnsi"/>
          <w:szCs w:val="20"/>
        </w:rPr>
        <w:t xml:space="preserve">El 2.3.2015 la CNMC incoó un nuevo expediente sancionador en relación con el modelo de precio libre </w:t>
      </w:r>
      <w:r w:rsidR="00E82AF2">
        <w:rPr>
          <w:rFonts w:cstheme="minorHAnsi"/>
          <w:szCs w:val="20"/>
        </w:rPr>
        <w:t xml:space="preserve">de un laboratorio determinado </w:t>
      </w:r>
      <w:r w:rsidRPr="007D7AC4">
        <w:rPr>
          <w:rFonts w:cstheme="minorHAnsi"/>
          <w:szCs w:val="20"/>
        </w:rPr>
        <w:t>y que se resolverá en septiembre de 2016 como muy tarde.</w:t>
      </w:r>
    </w:p>
    <w:p w:rsidR="00030FC7" w:rsidRDefault="00793DC3" w:rsidP="007D7AC4">
      <w:pPr>
        <w:pStyle w:val="Prrafodelista"/>
        <w:ind w:left="1080"/>
        <w:rPr>
          <w:rFonts w:cstheme="minorHAnsi"/>
          <w:szCs w:val="20"/>
        </w:rPr>
      </w:pPr>
      <w:r>
        <w:rPr>
          <w:rFonts w:cstheme="minorHAnsi"/>
          <w:szCs w:val="20"/>
        </w:rPr>
        <w:t xml:space="preserve">No obstante, los Tribunales de Justicia </w:t>
      </w:r>
      <w:r w:rsidR="00E82AF2">
        <w:rPr>
          <w:rFonts w:cstheme="minorHAnsi"/>
          <w:szCs w:val="20"/>
        </w:rPr>
        <w:t xml:space="preserve">están considerando que el modelo de precio libre no es equiparable al sistema de “doble precio” y que </w:t>
      </w:r>
      <w:r w:rsidR="00030FC7">
        <w:rPr>
          <w:rFonts w:cstheme="minorHAnsi"/>
          <w:szCs w:val="20"/>
        </w:rPr>
        <w:t xml:space="preserve">los correspondientes contratos de suministro entre laboratorios y distribuidores mayoristas son conformes con el párrafo 1 de </w:t>
      </w:r>
      <w:r w:rsidR="00966388">
        <w:rPr>
          <w:rFonts w:cstheme="minorHAnsi"/>
          <w:szCs w:val="20"/>
        </w:rPr>
        <w:t xml:space="preserve">los arts. 1/101 </w:t>
      </w:r>
      <w:r w:rsidR="00030FC7">
        <w:rPr>
          <w:rFonts w:cstheme="minorHAnsi"/>
          <w:szCs w:val="20"/>
        </w:rPr>
        <w:t>(i.e., sin necesidad de realizar el estudio de eficiencias bajo el párrafo 3).</w:t>
      </w:r>
    </w:p>
    <w:p w:rsidR="005326CC" w:rsidRDefault="005326CC" w:rsidP="007D7AC4">
      <w:pPr>
        <w:pStyle w:val="Prrafodelista"/>
        <w:ind w:left="1080"/>
        <w:rPr>
          <w:rFonts w:cstheme="minorHAnsi"/>
          <w:szCs w:val="20"/>
        </w:rPr>
      </w:pPr>
      <w:r>
        <w:rPr>
          <w:rFonts w:cstheme="minorHAnsi"/>
          <w:szCs w:val="20"/>
        </w:rPr>
        <w:t xml:space="preserve">Vid. Sentencia de </w:t>
      </w:r>
      <w:r>
        <w:t>la Audiencia Provincial Civil de Madrid de 7 de diciembre de 2015 (Rec. Apelación 555/2013 contra Sentencia del Juzgado de lo Mercantil nº 4 de Madrid, de 12 de marzo de 2013). La Sentencia parte de tres premisas</w:t>
      </w:r>
      <w:r w:rsidR="00B40A11">
        <w:t xml:space="preserve"> básicas</w:t>
      </w:r>
      <w:r>
        <w:t xml:space="preserve">: </w:t>
      </w:r>
    </w:p>
    <w:p w:rsidR="005326CC" w:rsidRDefault="005326CC" w:rsidP="005326CC">
      <w:pPr>
        <w:pStyle w:val="Prrafodelista"/>
        <w:numPr>
          <w:ilvl w:val="0"/>
          <w:numId w:val="11"/>
        </w:numPr>
        <w:ind w:left="1701" w:hanging="567"/>
      </w:pPr>
      <w:r>
        <w:t>La legislación española reconoce a los laboratorios farmacéuticos el derecho general a establecer sus precios de forma libre: solo en circunstancias específicas puede restringirse esa libertad.</w:t>
      </w:r>
    </w:p>
    <w:p w:rsidR="005326CC" w:rsidRDefault="005326CC" w:rsidP="005326CC">
      <w:pPr>
        <w:pStyle w:val="Prrafodelista"/>
        <w:numPr>
          <w:ilvl w:val="0"/>
          <w:numId w:val="11"/>
        </w:numPr>
        <w:ind w:left="1701" w:hanging="567"/>
      </w:pPr>
      <w:r>
        <w:t>Las normas de defensa de la competencia no pueden emplearse como excusa para tratar de imponer a los laboratorios limitaciones a su libertad de precios en casos distintos de los previstos en la Ley.</w:t>
      </w:r>
    </w:p>
    <w:p w:rsidR="00B0422F" w:rsidRDefault="005326CC" w:rsidP="005326CC">
      <w:pPr>
        <w:pStyle w:val="Prrafodelista"/>
        <w:numPr>
          <w:ilvl w:val="0"/>
          <w:numId w:val="11"/>
        </w:numPr>
        <w:ind w:left="1701" w:hanging="567"/>
      </w:pPr>
      <w:r>
        <w:t>La situación examinada por la jurisprudencia europea “Glaxo” es sustancialmente distinta de la propia de los sistemas de precio libre. La situación “Glaxo” deriva de la vieja Ley 25/1990, que imponía un precio intervenido a todos los medicamentos vendidos en España, y se basaba en un sistema clásico de “doble precio” en función del destino final del producto (mercado doméstico o exportación) con la reconocida finalidad de evitar las exportaciones paralelas. Por el contrario, los sistemas de precio libre se basan en la Ley 55/1999, que consagra el principio general de libertad de precios del laboratorio y que solo en circunstancias muy determinadas (i.e., dispensación en España de medicamentos financiados con fondos públicos) reemplaza dicho precio libre por un precio intervenido.</w:t>
      </w:r>
    </w:p>
    <w:p w:rsidR="00350489" w:rsidRDefault="000854DA" w:rsidP="00350489">
      <w:pPr>
        <w:ind w:left="1134"/>
      </w:pPr>
      <w:r>
        <w:t xml:space="preserve">Desde estas premisas </w:t>
      </w:r>
      <w:r w:rsidR="002B4F28">
        <w:t>la AP</w:t>
      </w:r>
      <w:r w:rsidR="00350489">
        <w:t xml:space="preserve"> concluye que</w:t>
      </w:r>
    </w:p>
    <w:p w:rsidR="00350489" w:rsidRPr="00350489" w:rsidRDefault="00350489" w:rsidP="00350489">
      <w:pPr>
        <w:ind w:left="1134"/>
      </w:pPr>
      <w:r>
        <w:rPr>
          <w:sz w:val="22"/>
        </w:rPr>
        <w:t>“</w:t>
      </w:r>
      <w:r w:rsidRPr="00350489">
        <w:rPr>
          <w:rFonts w:ascii="Times New Roman" w:hAnsi="Times New Roman" w:cs="Times New Roman"/>
          <w:i/>
          <w:color w:val="0C0C0C"/>
          <w:sz w:val="22"/>
        </w:rPr>
        <w:t>la ley española le permite al laboratorio no tener que plegarse a la</w:t>
      </w:r>
      <w:r w:rsidRPr="00350489">
        <w:rPr>
          <w:i/>
          <w:sz w:val="22"/>
        </w:rPr>
        <w:t xml:space="preserve"> </w:t>
      </w:r>
      <w:r w:rsidRPr="00350489">
        <w:rPr>
          <w:rFonts w:ascii="Times New Roman" w:hAnsi="Times New Roman" w:cs="Times New Roman"/>
          <w:i/>
          <w:color w:val="0C0C0C"/>
          <w:sz w:val="22"/>
        </w:rPr>
        <w:t>intervención administrativa y poder aplicar el precio que como fabricante</w:t>
      </w:r>
      <w:r w:rsidRPr="00350489">
        <w:rPr>
          <w:i/>
          <w:sz w:val="22"/>
        </w:rPr>
        <w:t xml:space="preserve"> </w:t>
      </w:r>
      <w:r w:rsidRPr="00350489">
        <w:rPr>
          <w:rFonts w:ascii="Times New Roman" w:hAnsi="Times New Roman" w:cs="Times New Roman"/>
          <w:i/>
          <w:color w:val="0C0C0C"/>
          <w:sz w:val="22"/>
        </w:rPr>
        <w:t>libremente asigne a sus productos como una de las manifestaciones del</w:t>
      </w:r>
      <w:r w:rsidRPr="00350489">
        <w:rPr>
          <w:i/>
          <w:sz w:val="22"/>
        </w:rPr>
        <w:t xml:space="preserve"> </w:t>
      </w:r>
      <w:r w:rsidRPr="00350489">
        <w:rPr>
          <w:rFonts w:ascii="Times New Roman" w:hAnsi="Times New Roman" w:cs="Times New Roman"/>
          <w:i/>
          <w:color w:val="0C0C0C"/>
          <w:sz w:val="22"/>
        </w:rPr>
        <w:t>principio de libertad de empresa que proclama el artículo 38 de la Constitución.</w:t>
      </w:r>
    </w:p>
    <w:p w:rsidR="00350489" w:rsidRPr="00E16AEE" w:rsidRDefault="00350489" w:rsidP="00350489">
      <w:pPr>
        <w:ind w:left="1134"/>
      </w:pPr>
      <w:r w:rsidRPr="00E16AEE">
        <w:rPr>
          <w:rFonts w:ascii="Times New Roman" w:hAnsi="Times New Roman" w:cs="Times New Roman"/>
          <w:i/>
          <w:color w:val="0C0C0C"/>
          <w:sz w:val="22"/>
        </w:rPr>
        <w:t>En definitiva, lo que la recurrente está pretendiendo es que los tribunales, extendiendo el ámbito de situaciones concretas sometidas a restricciones artificiales de mercado ajenas al libre juego de las reglas de la competencia, impidamos a JANSSEN-CILAG SA hacer lo que la legislación española le permite, que es vender los medicamentos a precio libre cuando, entre otras premisas, los mismos no están sujetos a financiación pública ni destinados a su dispensación en territorio nacional, lo que los deja fuera del ámbito excepcional de la intervención de precios y los sitúa en el campo general de la libre determinación de los mismos por parte del fabricante. Aducir en contra de dicho laboratorio las normas del Derecho de la Competencia con la finalidad de extender a su actividad restricciones que no son propias de mercados libres, sino de políticas de intervención, resulta un tanto paradójico. Porque, en cierta</w:t>
      </w:r>
      <w:r w:rsidR="00E16AEE" w:rsidRPr="00E16AEE">
        <w:rPr>
          <w:rFonts w:ascii="Times New Roman" w:hAnsi="Times New Roman" w:cs="Times New Roman"/>
          <w:i/>
          <w:color w:val="0C0C0C"/>
          <w:sz w:val="22"/>
        </w:rPr>
        <w:t xml:space="preserve"> medida, lo que la apelante está</w:t>
      </w:r>
      <w:r w:rsidRPr="00E16AEE">
        <w:rPr>
          <w:rFonts w:ascii="Times New Roman" w:hAnsi="Times New Roman" w:cs="Times New Roman"/>
          <w:i/>
          <w:color w:val="0C0C0C"/>
          <w:sz w:val="22"/>
        </w:rPr>
        <w:t xml:space="preserve"> reclamando de los tribunales de justicia no es la protección de un mercado internacional paralelo, sino que impongamos de modo coactivo el artificioso sostenimiento del mismo a la medida de los distribuidores integrados en la asociación demandante, lo que no consideramos que entrañe la invocación de un modo legítimo de las normas sobre el Derecho de la competencia</w:t>
      </w:r>
      <w:r w:rsidR="00E16AEE">
        <w:rPr>
          <w:rFonts w:ascii="Times New Roman" w:hAnsi="Times New Roman" w:cs="Times New Roman"/>
          <w:color w:val="0C0C0C"/>
          <w:sz w:val="22"/>
        </w:rPr>
        <w:t>”.</w:t>
      </w:r>
    </w:p>
    <w:p w:rsidR="00350489" w:rsidRDefault="00E16AEE" w:rsidP="005326CC">
      <w:pPr>
        <w:ind w:left="1134"/>
      </w:pPr>
      <w:r>
        <w:t xml:space="preserve">En todo caso, habrá que </w:t>
      </w:r>
      <w:r w:rsidR="00BF272E">
        <w:t xml:space="preserve">estar a </w:t>
      </w:r>
      <w:r>
        <w:t>la inminente Resolución de la CNMC en el expediente incoado en marzo de 2015.</w:t>
      </w:r>
      <w:r w:rsidR="00BF272E">
        <w:t xml:space="preserve"> De especial interés será comprobar si, además del tradicional examen bajo el párrafo 1 y el supuesto objeto o efecto restrictivo de los sistemas de precio libre (que ya rechazó la CNC en 2009 y recientemente los Tribunales de Justicia), se aplicará el párrafo 3 y el test de eficiencias, en el sentido ya apuntado por la Audiencia Nacional en 2011</w:t>
      </w:r>
      <w:r w:rsidR="00A03EAF">
        <w:t xml:space="preserve"> y el TG en 2009</w:t>
      </w:r>
      <w:r w:rsidR="005A341C">
        <w:t xml:space="preserve">.   </w:t>
      </w:r>
    </w:p>
    <w:p w:rsidR="005326CC" w:rsidRPr="005326CC" w:rsidRDefault="005326CC" w:rsidP="005326CC">
      <w:pPr>
        <w:pStyle w:val="Prrafodelista"/>
        <w:ind w:left="1701"/>
      </w:pPr>
    </w:p>
    <w:p w:rsidR="00B0422F" w:rsidRPr="00BC7166" w:rsidRDefault="00B0422F" w:rsidP="00B0422F">
      <w:pPr>
        <w:pStyle w:val="Prrafodelista"/>
        <w:ind w:left="1080"/>
        <w:jc w:val="center"/>
      </w:pPr>
      <w:r>
        <w:rPr>
          <w:rFonts w:cstheme="minorHAnsi"/>
          <w:szCs w:val="20"/>
        </w:rPr>
        <w:t>***</w:t>
      </w:r>
    </w:p>
    <w:sectPr w:rsidR="00B0422F" w:rsidRPr="00BC7166" w:rsidSect="00C0716D">
      <w:headerReference w:type="default" r:id="rId9"/>
      <w:footerReference w:type="default" r:id="rId10"/>
      <w:pgSz w:w="11906" w:h="16838"/>
      <w:pgMar w:top="2325" w:right="1418"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FA5" w:rsidRDefault="00CF6FA5" w:rsidP="00E6091E">
      <w:pPr>
        <w:spacing w:before="0" w:after="0" w:line="240" w:lineRule="auto"/>
      </w:pPr>
      <w:r>
        <w:separator/>
      </w:r>
    </w:p>
  </w:endnote>
  <w:endnote w:type="continuationSeparator" w:id="0">
    <w:p w:rsidR="00CF6FA5" w:rsidRDefault="00CF6FA5" w:rsidP="00E6091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557" w:rsidRPr="00AD4C52" w:rsidRDefault="005A341C" w:rsidP="00AD4C52">
    <w:pPr>
      <w:pStyle w:val="Piedepgina"/>
    </w:pPr>
    <w:fldSimple w:instr=" FILENAME  \* Lower  \* MERGEFORMAT ">
      <w:r w:rsidR="00FE1B8B" w:rsidRPr="00FE1B8B">
        <w:rPr>
          <w:rFonts w:cs="Times New Roman"/>
          <w:noProof/>
          <w:szCs w:val="16"/>
        </w:rPr>
        <w:t>cefi</w:t>
      </w:r>
      <w:r w:rsidR="00FE1B8B">
        <w:rPr>
          <w:noProof/>
        </w:rPr>
        <w:t xml:space="preserve"> precios (2016).docx</w:t>
      </w:r>
    </w:fldSimple>
    <w:r w:rsidR="00EF6557" w:rsidRPr="00CA3ECA">
      <w:rPr>
        <w:rFonts w:cs="Times New Roman"/>
        <w:szCs w:val="16"/>
      </w:rPr>
      <w:tab/>
    </w:r>
    <w:r w:rsidR="003860CB" w:rsidRPr="00CA3ECA">
      <w:rPr>
        <w:rFonts w:cs="Times New Roman"/>
        <w:sz w:val="20"/>
        <w:szCs w:val="20"/>
      </w:rPr>
      <w:fldChar w:fldCharType="begin"/>
    </w:r>
    <w:r w:rsidR="00EF6557" w:rsidRPr="00CA3ECA">
      <w:rPr>
        <w:rFonts w:cs="Times New Roman"/>
        <w:sz w:val="20"/>
        <w:szCs w:val="20"/>
      </w:rPr>
      <w:instrText xml:space="preserve"> PAGE </w:instrText>
    </w:r>
    <w:r w:rsidR="003860CB" w:rsidRPr="00CA3ECA">
      <w:rPr>
        <w:rFonts w:cs="Times New Roman"/>
        <w:sz w:val="20"/>
        <w:szCs w:val="20"/>
      </w:rPr>
      <w:fldChar w:fldCharType="separate"/>
    </w:r>
    <w:r w:rsidR="005D1506">
      <w:rPr>
        <w:rFonts w:cs="Times New Roman"/>
        <w:noProof/>
        <w:sz w:val="20"/>
        <w:szCs w:val="20"/>
      </w:rPr>
      <w:t>6</w:t>
    </w:r>
    <w:r w:rsidR="003860CB" w:rsidRPr="00CA3ECA">
      <w:rPr>
        <w:rFonts w:cs="Times New Roman"/>
        <w:sz w:val="20"/>
        <w:szCs w:val="20"/>
      </w:rPr>
      <w:fldChar w:fldCharType="end"/>
    </w:r>
    <w:r w:rsidR="00EF6557" w:rsidRPr="00CA3ECA">
      <w:rPr>
        <w:rFonts w:cs="Times New Roman"/>
        <w:sz w:val="20"/>
        <w:szCs w:val="20"/>
      </w:rPr>
      <w:t>/</w:t>
    </w:r>
    <w:r w:rsidR="003860CB" w:rsidRPr="00CA3ECA">
      <w:rPr>
        <w:rFonts w:cs="Times New Roman"/>
        <w:sz w:val="20"/>
        <w:szCs w:val="20"/>
      </w:rPr>
      <w:fldChar w:fldCharType="begin"/>
    </w:r>
    <w:r w:rsidR="00EF6557" w:rsidRPr="00CA3ECA">
      <w:rPr>
        <w:rFonts w:cs="Times New Roman"/>
        <w:sz w:val="20"/>
        <w:szCs w:val="20"/>
      </w:rPr>
      <w:instrText xml:space="preserve"> NUMPAGES  </w:instrText>
    </w:r>
    <w:r w:rsidR="003860CB" w:rsidRPr="00CA3ECA">
      <w:rPr>
        <w:rFonts w:cs="Times New Roman"/>
        <w:sz w:val="20"/>
        <w:szCs w:val="20"/>
      </w:rPr>
      <w:fldChar w:fldCharType="separate"/>
    </w:r>
    <w:r w:rsidR="005D1506">
      <w:rPr>
        <w:rFonts w:cs="Times New Roman"/>
        <w:noProof/>
        <w:sz w:val="20"/>
        <w:szCs w:val="20"/>
      </w:rPr>
      <w:t>7</w:t>
    </w:r>
    <w:r w:rsidR="003860CB" w:rsidRPr="00CA3ECA">
      <w:rPr>
        <w:rFonts w:cs="Times New Roman"/>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FA5" w:rsidRDefault="00CF6FA5" w:rsidP="00E6091E">
      <w:pPr>
        <w:spacing w:before="0" w:after="0" w:line="240" w:lineRule="auto"/>
      </w:pPr>
      <w:r>
        <w:separator/>
      </w:r>
    </w:p>
  </w:footnote>
  <w:footnote w:type="continuationSeparator" w:id="0">
    <w:p w:rsidR="00CF6FA5" w:rsidRDefault="00CF6FA5" w:rsidP="00E6091E">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557" w:rsidRPr="005160DF" w:rsidRDefault="00EF6557" w:rsidP="00DF59E8">
    <w:pPr>
      <w:pStyle w:val="Encabezado"/>
      <w:tabs>
        <w:tab w:val="clear" w:pos="8504"/>
        <w:tab w:val="right" w:pos="9072"/>
      </w:tabs>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45E9"/>
    <w:multiLevelType w:val="multilevel"/>
    <w:tmpl w:val="7354F0E0"/>
    <w:styleLink w:val="ListaUM2"/>
    <w:lvl w:ilvl="0">
      <w:start w:val="1"/>
      <w:numFmt w:val="bullet"/>
      <w:lvlText w:val=""/>
      <w:lvlJc w:val="left"/>
      <w:pPr>
        <w:tabs>
          <w:tab w:val="num" w:pos="709"/>
        </w:tabs>
        <w:ind w:left="709" w:hanging="709"/>
      </w:pPr>
      <w:rPr>
        <w:rFonts w:ascii="Symbol" w:hAnsi="Symbol" w:hint="default"/>
      </w:rPr>
    </w:lvl>
    <w:lvl w:ilvl="1">
      <w:start w:val="1"/>
      <w:numFmt w:val="bullet"/>
      <w:lvlText w:val=""/>
      <w:lvlJc w:val="left"/>
      <w:pPr>
        <w:tabs>
          <w:tab w:val="num" w:pos="709"/>
        </w:tabs>
        <w:ind w:left="709" w:hanging="709"/>
      </w:pPr>
      <w:rPr>
        <w:rFonts w:ascii="Symbol" w:hAnsi="Symbol" w:hint="default"/>
        <w:color w:val="auto"/>
      </w:rPr>
    </w:lvl>
    <w:lvl w:ilvl="2">
      <w:start w:val="1"/>
      <w:numFmt w:val="none"/>
      <w:lvlText w:val=""/>
      <w:lvlJc w:val="left"/>
      <w:pPr>
        <w:tabs>
          <w:tab w:val="num" w:pos="709"/>
        </w:tabs>
        <w:ind w:left="709" w:hanging="709"/>
      </w:pPr>
      <w:rPr>
        <w:rFonts w:hint="default"/>
      </w:rPr>
    </w:lvl>
    <w:lvl w:ilvl="3">
      <w:start w:val="1"/>
      <w:numFmt w:val="none"/>
      <w:lvlText w:val=""/>
      <w:lvlJc w:val="left"/>
      <w:pPr>
        <w:tabs>
          <w:tab w:val="num" w:pos="709"/>
        </w:tabs>
        <w:ind w:left="709" w:hanging="709"/>
      </w:pPr>
      <w:rPr>
        <w:rFonts w:hint="default"/>
      </w:rPr>
    </w:lvl>
    <w:lvl w:ilvl="4">
      <w:start w:val="1"/>
      <w:numFmt w:val="none"/>
      <w:lvlText w:val=""/>
      <w:lvlJc w:val="left"/>
      <w:pPr>
        <w:tabs>
          <w:tab w:val="num" w:pos="709"/>
        </w:tabs>
        <w:ind w:left="709" w:hanging="709"/>
      </w:pPr>
      <w:rPr>
        <w:rFonts w:hint="default"/>
      </w:rPr>
    </w:lvl>
    <w:lvl w:ilvl="5">
      <w:start w:val="1"/>
      <w:numFmt w:val="none"/>
      <w:lvlText w:val=""/>
      <w:lvlJc w:val="left"/>
      <w:pPr>
        <w:tabs>
          <w:tab w:val="num" w:pos="709"/>
        </w:tabs>
        <w:ind w:left="709" w:hanging="709"/>
      </w:pPr>
      <w:rPr>
        <w:rFonts w:hint="default"/>
      </w:rPr>
    </w:lvl>
    <w:lvl w:ilvl="6">
      <w:start w:val="1"/>
      <w:numFmt w:val="none"/>
      <w:lvlText w:val=""/>
      <w:lvlJc w:val="left"/>
      <w:pPr>
        <w:tabs>
          <w:tab w:val="num" w:pos="709"/>
        </w:tabs>
        <w:ind w:left="709" w:hanging="709"/>
      </w:pPr>
      <w:rPr>
        <w:rFonts w:hint="default"/>
      </w:rPr>
    </w:lvl>
    <w:lvl w:ilvl="7">
      <w:start w:val="1"/>
      <w:numFmt w:val="none"/>
      <w:lvlText w:val=""/>
      <w:lvlJc w:val="left"/>
      <w:pPr>
        <w:tabs>
          <w:tab w:val="num" w:pos="709"/>
        </w:tabs>
        <w:ind w:left="709" w:hanging="709"/>
      </w:pPr>
      <w:rPr>
        <w:rFonts w:hint="default"/>
      </w:rPr>
    </w:lvl>
    <w:lvl w:ilvl="8">
      <w:start w:val="1"/>
      <w:numFmt w:val="none"/>
      <w:lvlText w:val=""/>
      <w:lvlJc w:val="left"/>
      <w:pPr>
        <w:tabs>
          <w:tab w:val="num" w:pos="709"/>
        </w:tabs>
        <w:ind w:left="709" w:hanging="709"/>
      </w:pPr>
      <w:rPr>
        <w:rFonts w:hint="default"/>
      </w:rPr>
    </w:lvl>
  </w:abstractNum>
  <w:abstractNum w:abstractNumId="1">
    <w:nsid w:val="0FDB0985"/>
    <w:multiLevelType w:val="hybridMultilevel"/>
    <w:tmpl w:val="ADBC99B8"/>
    <w:lvl w:ilvl="0" w:tplc="78FCEE4E">
      <w:start w:val="1"/>
      <w:numFmt w:val="low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173E4801"/>
    <w:multiLevelType w:val="hybridMultilevel"/>
    <w:tmpl w:val="D44E5F46"/>
    <w:lvl w:ilvl="0" w:tplc="72466728">
      <w:numFmt w:val="bullet"/>
      <w:lvlText w:val="-"/>
      <w:lvlJc w:val="left"/>
      <w:pPr>
        <w:ind w:left="1800" w:hanging="360"/>
      </w:pPr>
      <w:rPr>
        <w:rFonts w:ascii="Times New Roman" w:eastAsiaTheme="minorHAnsi" w:hAnsi="Times New Roman" w:cs="Times New Roman"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3">
    <w:nsid w:val="17F30486"/>
    <w:multiLevelType w:val="multilevel"/>
    <w:tmpl w:val="C76AA05E"/>
    <w:styleLink w:val="ListaUM1"/>
    <w:lvl w:ilvl="0">
      <w:start w:val="1"/>
      <w:numFmt w:val="lowerRoman"/>
      <w:lvlText w:val="(%1)"/>
      <w:lvlJc w:val="left"/>
      <w:pPr>
        <w:tabs>
          <w:tab w:val="num" w:pos="709"/>
        </w:tabs>
        <w:ind w:left="709" w:hanging="709"/>
      </w:pPr>
      <w:rPr>
        <w:rFonts w:ascii="Times New Roman" w:hAnsi="Times New Roman" w:hint="default"/>
        <w:b w:val="0"/>
        <w:i w:val="0"/>
        <w:sz w:val="24"/>
      </w:rPr>
    </w:lvl>
    <w:lvl w:ilvl="1">
      <w:start w:val="1"/>
      <w:numFmt w:val="lowerLetter"/>
      <w:lvlText w:val="(%2)"/>
      <w:lvlJc w:val="left"/>
      <w:pPr>
        <w:tabs>
          <w:tab w:val="num" w:pos="709"/>
        </w:tabs>
        <w:ind w:left="709" w:hanging="709"/>
      </w:pPr>
      <w:rPr>
        <w:rFonts w:ascii="Times New Roman" w:hAnsi="Times New Roman" w:hint="default"/>
        <w:b w:val="0"/>
        <w:i w:val="0"/>
        <w:color w:val="auto"/>
        <w:sz w:val="24"/>
      </w:rPr>
    </w:lvl>
    <w:lvl w:ilvl="2">
      <w:start w:val="1"/>
      <w:numFmt w:val="lowerLetter"/>
      <w:lvlText w:val="(%3)"/>
      <w:lvlJc w:val="left"/>
      <w:pPr>
        <w:tabs>
          <w:tab w:val="num" w:pos="1134"/>
        </w:tabs>
        <w:ind w:left="1134" w:hanging="425"/>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4">
    <w:nsid w:val="200055F9"/>
    <w:multiLevelType w:val="multilevel"/>
    <w:tmpl w:val="8E7245DC"/>
    <w:styleLink w:val="ListaUM3"/>
    <w:lvl w:ilvl="0">
      <w:start w:val="1"/>
      <w:numFmt w:val="upperRoman"/>
      <w:lvlText w:val="%1."/>
      <w:lvlJc w:val="left"/>
      <w:pPr>
        <w:tabs>
          <w:tab w:val="num" w:pos="709"/>
        </w:tabs>
        <w:ind w:left="709" w:hanging="709"/>
      </w:pPr>
      <w:rPr>
        <w:rFonts w:hint="default"/>
        <w:b/>
      </w:rPr>
    </w:lvl>
    <w:lvl w:ilvl="1">
      <w:start w:val="1"/>
      <w:numFmt w:val="lowerLetter"/>
      <w:lvlText w:val="(%2)"/>
      <w:lvlJc w:val="left"/>
      <w:pPr>
        <w:tabs>
          <w:tab w:val="num" w:pos="1134"/>
        </w:tabs>
        <w:ind w:left="1134" w:hanging="425"/>
      </w:pPr>
      <w:rPr>
        <w:rFonts w:hint="default"/>
        <w:color w:val="auto"/>
      </w:rPr>
    </w:lvl>
    <w:lvl w:ilvl="2">
      <w:start w:val="1"/>
      <w:numFmt w:val="none"/>
      <w:lvlText w:val=""/>
      <w:lvlJc w:val="left"/>
      <w:pPr>
        <w:ind w:left="1440" w:firstLine="0"/>
      </w:pPr>
      <w:rPr>
        <w:rFonts w:hint="default"/>
      </w:rPr>
    </w:lvl>
    <w:lvl w:ilvl="3">
      <w:start w:val="1"/>
      <w:numFmt w:val="none"/>
      <w:lvlText w:val=""/>
      <w:lvlJc w:val="left"/>
      <w:pPr>
        <w:ind w:left="2160" w:firstLine="0"/>
      </w:pPr>
      <w:rPr>
        <w:rFonts w:hint="default"/>
      </w:rPr>
    </w:lvl>
    <w:lvl w:ilvl="4">
      <w:start w:val="1"/>
      <w:numFmt w:val="none"/>
      <w:lvlText w:val=""/>
      <w:lvlJc w:val="left"/>
      <w:pPr>
        <w:ind w:left="2880" w:firstLine="0"/>
      </w:pPr>
      <w:rPr>
        <w:rFonts w:hint="default"/>
      </w:rPr>
    </w:lvl>
    <w:lvl w:ilvl="5">
      <w:start w:val="1"/>
      <w:numFmt w:val="none"/>
      <w:lvlText w:val=""/>
      <w:lvlJc w:val="left"/>
      <w:pPr>
        <w:ind w:left="3600" w:firstLine="0"/>
      </w:pPr>
      <w:rPr>
        <w:rFonts w:hint="default"/>
      </w:rPr>
    </w:lvl>
    <w:lvl w:ilvl="6">
      <w:start w:val="1"/>
      <w:numFmt w:val="none"/>
      <w:lvlText w:val=""/>
      <w:lvlJc w:val="left"/>
      <w:pPr>
        <w:ind w:left="4320" w:firstLine="0"/>
      </w:pPr>
      <w:rPr>
        <w:rFonts w:hint="default"/>
      </w:rPr>
    </w:lvl>
    <w:lvl w:ilvl="7">
      <w:start w:val="1"/>
      <w:numFmt w:val="none"/>
      <w:lvlText w:val=""/>
      <w:lvlJc w:val="left"/>
      <w:pPr>
        <w:ind w:left="5040" w:firstLine="0"/>
      </w:pPr>
      <w:rPr>
        <w:rFonts w:hint="default"/>
      </w:rPr>
    </w:lvl>
    <w:lvl w:ilvl="8">
      <w:start w:val="1"/>
      <w:numFmt w:val="none"/>
      <w:lvlText w:val=""/>
      <w:lvlJc w:val="left"/>
      <w:pPr>
        <w:ind w:left="5760" w:firstLine="0"/>
      </w:pPr>
      <w:rPr>
        <w:rFonts w:hint="default"/>
      </w:rPr>
    </w:lvl>
  </w:abstractNum>
  <w:abstractNum w:abstractNumId="5">
    <w:nsid w:val="4A252582"/>
    <w:multiLevelType w:val="multilevel"/>
    <w:tmpl w:val="8E7245DC"/>
    <w:numStyleLink w:val="ListaUM3"/>
  </w:abstractNum>
  <w:abstractNum w:abstractNumId="6">
    <w:nsid w:val="4AF90618"/>
    <w:multiLevelType w:val="hybridMultilevel"/>
    <w:tmpl w:val="07F46776"/>
    <w:lvl w:ilvl="0" w:tplc="C1069A4E">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CA06E5E"/>
    <w:multiLevelType w:val="hybridMultilevel"/>
    <w:tmpl w:val="CBB464B6"/>
    <w:lvl w:ilvl="0" w:tplc="A8EE535E">
      <w:start w:val="1"/>
      <w:numFmt w:val="low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6332D8D"/>
    <w:multiLevelType w:val="multilevel"/>
    <w:tmpl w:val="B83A2BE0"/>
    <w:lvl w:ilvl="0">
      <w:start w:val="1"/>
      <w:numFmt w:val="decimal"/>
      <w:pStyle w:val="Ttulo1"/>
      <w:lvlText w:val="%1."/>
      <w:lvlJc w:val="left"/>
      <w:pPr>
        <w:tabs>
          <w:tab w:val="num" w:pos="709"/>
        </w:tabs>
        <w:ind w:left="709" w:hanging="709"/>
      </w:pPr>
      <w:rPr>
        <w:rFonts w:ascii="Times New Roman" w:hAnsi="Times New Roman" w:hint="default"/>
        <w:b/>
        <w:i w:val="0"/>
        <w:color w:val="auto"/>
        <w:sz w:val="24"/>
      </w:rPr>
    </w:lvl>
    <w:lvl w:ilvl="1">
      <w:start w:val="1"/>
      <w:numFmt w:val="decimal"/>
      <w:pStyle w:val="Ttulo2"/>
      <w:lvlText w:val="%1.%2"/>
      <w:lvlJc w:val="left"/>
      <w:pPr>
        <w:tabs>
          <w:tab w:val="num" w:pos="709"/>
        </w:tabs>
        <w:ind w:left="709" w:hanging="709"/>
      </w:pPr>
      <w:rPr>
        <w:rFonts w:ascii="Times New Roman" w:hAnsi="Times New Roman" w:hint="default"/>
        <w:b/>
        <w:i w:val="0"/>
        <w:color w:val="auto"/>
        <w:sz w:val="24"/>
      </w:rPr>
    </w:lvl>
    <w:lvl w:ilvl="2">
      <w:start w:val="1"/>
      <w:numFmt w:val="decimal"/>
      <w:pStyle w:val="Ttulo3"/>
      <w:lvlText w:val="%1.%2.%3"/>
      <w:lvlJc w:val="left"/>
      <w:pPr>
        <w:tabs>
          <w:tab w:val="num" w:pos="709"/>
        </w:tabs>
        <w:ind w:left="709" w:hanging="709"/>
      </w:pPr>
      <w:rPr>
        <w:rFonts w:ascii="Times New Roman" w:hAnsi="Times New Roman" w:hint="default"/>
        <w:b w:val="0"/>
        <w:i/>
        <w:color w:val="auto"/>
        <w:sz w:val="24"/>
      </w:rPr>
    </w:lvl>
    <w:lvl w:ilvl="3">
      <w:start w:val="1"/>
      <w:numFmt w:val="upperLetter"/>
      <w:pStyle w:val="Ttulo4"/>
      <w:lvlText w:val="(%4)"/>
      <w:lvlJc w:val="left"/>
      <w:pPr>
        <w:tabs>
          <w:tab w:val="num" w:pos="709"/>
        </w:tabs>
        <w:ind w:left="709" w:hanging="709"/>
      </w:pPr>
      <w:rPr>
        <w:rFonts w:ascii="Times New Roman" w:hAnsi="Times New Roman" w:hint="default"/>
        <w:b w:val="0"/>
        <w:i w:val="0"/>
        <w:color w:val="auto"/>
        <w:sz w:val="24"/>
      </w:rPr>
    </w:lvl>
    <w:lvl w:ilvl="4">
      <w:start w:val="1"/>
      <w:numFmt w:val="lowerRoman"/>
      <w:pStyle w:val="Ttulo5"/>
      <w:lvlText w:val="(%5)"/>
      <w:lvlJc w:val="left"/>
      <w:pPr>
        <w:tabs>
          <w:tab w:val="num" w:pos="1134"/>
        </w:tabs>
        <w:ind w:left="1134" w:hanging="425"/>
      </w:pPr>
      <w:rPr>
        <w:rFonts w:ascii="Times New Roman" w:hAnsi="Times New Roman" w:hint="default"/>
        <w:b w:val="0"/>
        <w:i w:val="0"/>
        <w:color w:val="auto"/>
        <w:sz w:val="24"/>
      </w:rPr>
    </w:lvl>
    <w:lvl w:ilvl="5">
      <w:start w:val="1"/>
      <w:numFmt w:val="lowerLetter"/>
      <w:pStyle w:val="Ttulo6"/>
      <w:lvlText w:val="(%6)"/>
      <w:lvlJc w:val="left"/>
      <w:pPr>
        <w:tabs>
          <w:tab w:val="num" w:pos="1701"/>
        </w:tabs>
        <w:ind w:left="1701" w:hanging="567"/>
      </w:pPr>
      <w:rPr>
        <w:rFonts w:ascii="Times New Roman" w:hAnsi="Times New Roman" w:hint="default"/>
        <w:b w:val="0"/>
        <w:i w:val="0"/>
        <w:color w:val="auto"/>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9">
    <w:nsid w:val="65C042AC"/>
    <w:multiLevelType w:val="hybridMultilevel"/>
    <w:tmpl w:val="0EF42D02"/>
    <w:lvl w:ilvl="0" w:tplc="36780F1C">
      <w:start w:val="1"/>
      <w:numFmt w:val="low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73526E83"/>
    <w:multiLevelType w:val="hybridMultilevel"/>
    <w:tmpl w:val="75FEFD0C"/>
    <w:lvl w:ilvl="0" w:tplc="114CE91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4"/>
  </w:num>
  <w:num w:numId="5">
    <w:abstractNumId w:val="5"/>
  </w:num>
  <w:num w:numId="6">
    <w:abstractNumId w:val="10"/>
  </w:num>
  <w:num w:numId="7">
    <w:abstractNumId w:val="7"/>
  </w:num>
  <w:num w:numId="8">
    <w:abstractNumId w:val="1"/>
  </w:num>
  <w:num w:numId="9">
    <w:abstractNumId w:val="9"/>
  </w:num>
  <w:num w:numId="10">
    <w:abstractNumId w:val="2"/>
  </w:num>
  <w:num w:numId="11">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F5D"/>
    <w:rsid w:val="00004BC1"/>
    <w:rsid w:val="0002284D"/>
    <w:rsid w:val="00030FC7"/>
    <w:rsid w:val="00035B12"/>
    <w:rsid w:val="000854DA"/>
    <w:rsid w:val="00086F3C"/>
    <w:rsid w:val="00086F75"/>
    <w:rsid w:val="00091BDF"/>
    <w:rsid w:val="00091D4E"/>
    <w:rsid w:val="000A349A"/>
    <w:rsid w:val="000A414B"/>
    <w:rsid w:val="000A7ACA"/>
    <w:rsid w:val="000B028F"/>
    <w:rsid w:val="000E2B9C"/>
    <w:rsid w:val="000F26A0"/>
    <w:rsid w:val="00125797"/>
    <w:rsid w:val="00136F63"/>
    <w:rsid w:val="00146AD4"/>
    <w:rsid w:val="00163CE2"/>
    <w:rsid w:val="0018451E"/>
    <w:rsid w:val="00194FED"/>
    <w:rsid w:val="001B2C8A"/>
    <w:rsid w:val="001C1AC7"/>
    <w:rsid w:val="001C3F06"/>
    <w:rsid w:val="001C523C"/>
    <w:rsid w:val="001D1286"/>
    <w:rsid w:val="001F1014"/>
    <w:rsid w:val="001F434D"/>
    <w:rsid w:val="00212A7C"/>
    <w:rsid w:val="00213D88"/>
    <w:rsid w:val="00215D4D"/>
    <w:rsid w:val="00216640"/>
    <w:rsid w:val="002220FF"/>
    <w:rsid w:val="00247B26"/>
    <w:rsid w:val="00270454"/>
    <w:rsid w:val="00271AB4"/>
    <w:rsid w:val="002A4BEF"/>
    <w:rsid w:val="002B4F28"/>
    <w:rsid w:val="002F0A14"/>
    <w:rsid w:val="00310263"/>
    <w:rsid w:val="00315647"/>
    <w:rsid w:val="003329CD"/>
    <w:rsid w:val="00343D13"/>
    <w:rsid w:val="00350489"/>
    <w:rsid w:val="00350572"/>
    <w:rsid w:val="0035423A"/>
    <w:rsid w:val="00361A13"/>
    <w:rsid w:val="003860CB"/>
    <w:rsid w:val="00393A95"/>
    <w:rsid w:val="003A33D6"/>
    <w:rsid w:val="003A4785"/>
    <w:rsid w:val="003C3ACF"/>
    <w:rsid w:val="004005FC"/>
    <w:rsid w:val="00415196"/>
    <w:rsid w:val="004228A8"/>
    <w:rsid w:val="00422B2C"/>
    <w:rsid w:val="00430D6A"/>
    <w:rsid w:val="004417D5"/>
    <w:rsid w:val="00455FC5"/>
    <w:rsid w:val="00463B93"/>
    <w:rsid w:val="004733A0"/>
    <w:rsid w:val="00481962"/>
    <w:rsid w:val="004822EF"/>
    <w:rsid w:val="00482D74"/>
    <w:rsid w:val="004A1C0E"/>
    <w:rsid w:val="004A77E4"/>
    <w:rsid w:val="004B238F"/>
    <w:rsid w:val="004D3F4C"/>
    <w:rsid w:val="004D3FD5"/>
    <w:rsid w:val="004D53FE"/>
    <w:rsid w:val="004F3520"/>
    <w:rsid w:val="00506950"/>
    <w:rsid w:val="00506DA1"/>
    <w:rsid w:val="0050709F"/>
    <w:rsid w:val="005160DF"/>
    <w:rsid w:val="00522CC4"/>
    <w:rsid w:val="005326CC"/>
    <w:rsid w:val="005469E2"/>
    <w:rsid w:val="00566EB8"/>
    <w:rsid w:val="0058446D"/>
    <w:rsid w:val="00591ED1"/>
    <w:rsid w:val="0059605E"/>
    <w:rsid w:val="005A073A"/>
    <w:rsid w:val="005A341C"/>
    <w:rsid w:val="005B0224"/>
    <w:rsid w:val="005B6C38"/>
    <w:rsid w:val="005D1506"/>
    <w:rsid w:val="005E1EB9"/>
    <w:rsid w:val="005E217B"/>
    <w:rsid w:val="005E39B1"/>
    <w:rsid w:val="00617219"/>
    <w:rsid w:val="00627EF1"/>
    <w:rsid w:val="006443B8"/>
    <w:rsid w:val="006569E1"/>
    <w:rsid w:val="00672C6D"/>
    <w:rsid w:val="006873FB"/>
    <w:rsid w:val="006A2F8B"/>
    <w:rsid w:val="006A3C10"/>
    <w:rsid w:val="006A42F6"/>
    <w:rsid w:val="006A43A2"/>
    <w:rsid w:val="006B0405"/>
    <w:rsid w:val="006D39FE"/>
    <w:rsid w:val="00704F4A"/>
    <w:rsid w:val="00705206"/>
    <w:rsid w:val="0070724B"/>
    <w:rsid w:val="00726977"/>
    <w:rsid w:val="00746427"/>
    <w:rsid w:val="00767098"/>
    <w:rsid w:val="00785BCB"/>
    <w:rsid w:val="00793DC3"/>
    <w:rsid w:val="00795EAC"/>
    <w:rsid w:val="007A4861"/>
    <w:rsid w:val="007A48FC"/>
    <w:rsid w:val="007C4D0F"/>
    <w:rsid w:val="007D5873"/>
    <w:rsid w:val="007D7AC4"/>
    <w:rsid w:val="007E7F14"/>
    <w:rsid w:val="00805173"/>
    <w:rsid w:val="008109FF"/>
    <w:rsid w:val="00815E71"/>
    <w:rsid w:val="0083510D"/>
    <w:rsid w:val="00840F37"/>
    <w:rsid w:val="00846E56"/>
    <w:rsid w:val="00853DDD"/>
    <w:rsid w:val="0086401E"/>
    <w:rsid w:val="00873A4D"/>
    <w:rsid w:val="00882956"/>
    <w:rsid w:val="008864AB"/>
    <w:rsid w:val="00896329"/>
    <w:rsid w:val="008A610A"/>
    <w:rsid w:val="008B339D"/>
    <w:rsid w:val="008B51D3"/>
    <w:rsid w:val="008B7F41"/>
    <w:rsid w:val="008D308E"/>
    <w:rsid w:val="008D5B21"/>
    <w:rsid w:val="008D6FE0"/>
    <w:rsid w:val="00911DEA"/>
    <w:rsid w:val="00916957"/>
    <w:rsid w:val="00917FB5"/>
    <w:rsid w:val="00927104"/>
    <w:rsid w:val="00966388"/>
    <w:rsid w:val="00970187"/>
    <w:rsid w:val="009735F5"/>
    <w:rsid w:val="009A4641"/>
    <w:rsid w:val="009C4012"/>
    <w:rsid w:val="009C4FFC"/>
    <w:rsid w:val="009E3350"/>
    <w:rsid w:val="00A03EAF"/>
    <w:rsid w:val="00A0668B"/>
    <w:rsid w:val="00A42F91"/>
    <w:rsid w:val="00A63495"/>
    <w:rsid w:val="00A70E66"/>
    <w:rsid w:val="00A8164F"/>
    <w:rsid w:val="00A83139"/>
    <w:rsid w:val="00A90859"/>
    <w:rsid w:val="00A963CF"/>
    <w:rsid w:val="00AA185F"/>
    <w:rsid w:val="00AA508E"/>
    <w:rsid w:val="00AC6F2C"/>
    <w:rsid w:val="00AD02A3"/>
    <w:rsid w:val="00AD376B"/>
    <w:rsid w:val="00AD4C52"/>
    <w:rsid w:val="00AE027C"/>
    <w:rsid w:val="00AE50E0"/>
    <w:rsid w:val="00AF21E4"/>
    <w:rsid w:val="00B0405E"/>
    <w:rsid w:val="00B0422F"/>
    <w:rsid w:val="00B3536D"/>
    <w:rsid w:val="00B40A11"/>
    <w:rsid w:val="00B546D3"/>
    <w:rsid w:val="00B55548"/>
    <w:rsid w:val="00B638DC"/>
    <w:rsid w:val="00B6517A"/>
    <w:rsid w:val="00B67FCD"/>
    <w:rsid w:val="00B705B4"/>
    <w:rsid w:val="00B875A7"/>
    <w:rsid w:val="00B90714"/>
    <w:rsid w:val="00B94036"/>
    <w:rsid w:val="00BA1000"/>
    <w:rsid w:val="00BA1782"/>
    <w:rsid w:val="00BC04DE"/>
    <w:rsid w:val="00BC7166"/>
    <w:rsid w:val="00BF182C"/>
    <w:rsid w:val="00BF272E"/>
    <w:rsid w:val="00C0716D"/>
    <w:rsid w:val="00C21D16"/>
    <w:rsid w:val="00C52C59"/>
    <w:rsid w:val="00C7450C"/>
    <w:rsid w:val="00C76C0D"/>
    <w:rsid w:val="00C974F0"/>
    <w:rsid w:val="00CC24DD"/>
    <w:rsid w:val="00CC290C"/>
    <w:rsid w:val="00CD027E"/>
    <w:rsid w:val="00CE3F23"/>
    <w:rsid w:val="00CE5157"/>
    <w:rsid w:val="00CF0DBB"/>
    <w:rsid w:val="00CF6FA5"/>
    <w:rsid w:val="00D07E40"/>
    <w:rsid w:val="00D14547"/>
    <w:rsid w:val="00D21D2A"/>
    <w:rsid w:val="00D50D18"/>
    <w:rsid w:val="00D5637A"/>
    <w:rsid w:val="00D70AED"/>
    <w:rsid w:val="00D91D5D"/>
    <w:rsid w:val="00D96E27"/>
    <w:rsid w:val="00DB22D8"/>
    <w:rsid w:val="00DC08B8"/>
    <w:rsid w:val="00DC615A"/>
    <w:rsid w:val="00DF06BA"/>
    <w:rsid w:val="00DF3242"/>
    <w:rsid w:val="00DF59E8"/>
    <w:rsid w:val="00E16AEE"/>
    <w:rsid w:val="00E230E6"/>
    <w:rsid w:val="00E31B6D"/>
    <w:rsid w:val="00E43BA8"/>
    <w:rsid w:val="00E4510D"/>
    <w:rsid w:val="00E50EAF"/>
    <w:rsid w:val="00E6091E"/>
    <w:rsid w:val="00E700C5"/>
    <w:rsid w:val="00E72F2C"/>
    <w:rsid w:val="00E74405"/>
    <w:rsid w:val="00E82AF2"/>
    <w:rsid w:val="00E960B7"/>
    <w:rsid w:val="00EB6D10"/>
    <w:rsid w:val="00ED2E2A"/>
    <w:rsid w:val="00ED44FA"/>
    <w:rsid w:val="00EE7015"/>
    <w:rsid w:val="00EF6557"/>
    <w:rsid w:val="00F00411"/>
    <w:rsid w:val="00F02B06"/>
    <w:rsid w:val="00F0521E"/>
    <w:rsid w:val="00F073ED"/>
    <w:rsid w:val="00F07759"/>
    <w:rsid w:val="00F21EBB"/>
    <w:rsid w:val="00F52F8B"/>
    <w:rsid w:val="00F6538D"/>
    <w:rsid w:val="00F73F53"/>
    <w:rsid w:val="00F75E8C"/>
    <w:rsid w:val="00F773D6"/>
    <w:rsid w:val="00F82F5D"/>
    <w:rsid w:val="00F974A9"/>
    <w:rsid w:val="00FA3B79"/>
    <w:rsid w:val="00FB0872"/>
    <w:rsid w:val="00FB3812"/>
    <w:rsid w:val="00FC258B"/>
    <w:rsid w:val="00FC4181"/>
    <w:rsid w:val="00FE1B8B"/>
    <w:rsid w:val="00FF2B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s-ES"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3" w:qFormat="1"/>
    <w:lsdException w:name="heading 3" w:uiPriority="4" w:qFormat="1"/>
    <w:lsdException w:name="heading 4" w:uiPriority="5" w:qFormat="1"/>
    <w:lsdException w:name="heading 5" w:uiPriority="6" w:qFormat="1"/>
    <w:lsdException w:name="heading 6" w:uiPriority="7" w:qFormat="1"/>
    <w:lsdException w:name="heading 7" w:uiPriority="7"/>
    <w:lsdException w:name="heading 8" w:uiPriority="7" w:qFormat="1"/>
    <w:lsdException w:name="heading 9" w:uiPriority="7"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13"/>
    <w:lsdException w:name="footer" w:uiPriority="14"/>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AE027C"/>
    <w:rPr>
      <w:rFonts w:asciiTheme="minorHAnsi" w:hAnsiTheme="minorHAnsi"/>
      <w:szCs w:val="22"/>
    </w:rPr>
  </w:style>
  <w:style w:type="paragraph" w:styleId="Ttulo1">
    <w:name w:val="heading 1"/>
    <w:basedOn w:val="Normal"/>
    <w:next w:val="Normal"/>
    <w:link w:val="Ttulo1Car"/>
    <w:uiPriority w:val="2"/>
    <w:qFormat/>
    <w:rsid w:val="002220FF"/>
    <w:pPr>
      <w:keepNext/>
      <w:numPr>
        <w:numId w:val="1"/>
      </w:numPr>
      <w:outlineLvl w:val="0"/>
    </w:pPr>
    <w:rPr>
      <w:rFonts w:eastAsiaTheme="majorEastAsia" w:cstheme="majorBidi"/>
      <w:b/>
      <w:bCs/>
      <w:caps/>
      <w:szCs w:val="28"/>
    </w:rPr>
  </w:style>
  <w:style w:type="paragraph" w:styleId="Ttulo2">
    <w:name w:val="heading 2"/>
    <w:basedOn w:val="Normal"/>
    <w:next w:val="Normal"/>
    <w:link w:val="Ttulo2Car"/>
    <w:uiPriority w:val="3"/>
    <w:qFormat/>
    <w:rsid w:val="002220FF"/>
    <w:pPr>
      <w:keepNext/>
      <w:numPr>
        <w:ilvl w:val="1"/>
        <w:numId w:val="1"/>
      </w:numPr>
      <w:outlineLvl w:val="1"/>
    </w:pPr>
    <w:rPr>
      <w:rFonts w:eastAsiaTheme="majorEastAsia" w:cstheme="majorBidi"/>
      <w:b/>
      <w:bCs/>
      <w:szCs w:val="26"/>
    </w:rPr>
  </w:style>
  <w:style w:type="paragraph" w:styleId="Ttulo3">
    <w:name w:val="heading 3"/>
    <w:basedOn w:val="Normal"/>
    <w:next w:val="Normal"/>
    <w:link w:val="Ttulo3Car"/>
    <w:uiPriority w:val="4"/>
    <w:qFormat/>
    <w:rsid w:val="002220FF"/>
    <w:pPr>
      <w:keepNext/>
      <w:numPr>
        <w:ilvl w:val="2"/>
        <w:numId w:val="1"/>
      </w:numPr>
      <w:outlineLvl w:val="2"/>
    </w:pPr>
    <w:rPr>
      <w:rFonts w:eastAsiaTheme="majorEastAsia" w:cstheme="majorBidi"/>
      <w:bCs/>
      <w:i/>
    </w:rPr>
  </w:style>
  <w:style w:type="paragraph" w:styleId="Ttulo4">
    <w:name w:val="heading 4"/>
    <w:basedOn w:val="Normal"/>
    <w:next w:val="TextoNivel4"/>
    <w:link w:val="Ttulo4Car"/>
    <w:uiPriority w:val="5"/>
    <w:qFormat/>
    <w:rsid w:val="002220FF"/>
    <w:pPr>
      <w:numPr>
        <w:ilvl w:val="3"/>
        <w:numId w:val="1"/>
      </w:numPr>
      <w:outlineLvl w:val="3"/>
    </w:pPr>
    <w:rPr>
      <w:rFonts w:eastAsiaTheme="majorEastAsia" w:cstheme="majorBidi"/>
      <w:bCs/>
      <w:iCs/>
    </w:rPr>
  </w:style>
  <w:style w:type="paragraph" w:styleId="Ttulo5">
    <w:name w:val="heading 5"/>
    <w:basedOn w:val="Normal"/>
    <w:next w:val="Textonivel5"/>
    <w:link w:val="Ttulo5Car"/>
    <w:uiPriority w:val="6"/>
    <w:qFormat/>
    <w:rsid w:val="002220FF"/>
    <w:pPr>
      <w:numPr>
        <w:ilvl w:val="4"/>
        <w:numId w:val="1"/>
      </w:numPr>
      <w:outlineLvl w:val="4"/>
    </w:pPr>
    <w:rPr>
      <w:rFonts w:eastAsiaTheme="majorEastAsia" w:cstheme="majorBidi"/>
    </w:rPr>
  </w:style>
  <w:style w:type="paragraph" w:styleId="Ttulo6">
    <w:name w:val="heading 6"/>
    <w:basedOn w:val="Normal"/>
    <w:next w:val="Textonivel6"/>
    <w:link w:val="Ttulo6Car"/>
    <w:uiPriority w:val="7"/>
    <w:qFormat/>
    <w:rsid w:val="002220FF"/>
    <w:pPr>
      <w:numPr>
        <w:ilvl w:val="5"/>
        <w:numId w:val="1"/>
      </w:numPr>
      <w:outlineLvl w:val="5"/>
    </w:pPr>
    <w:rPr>
      <w:rFonts w:eastAsiaTheme="majorEastAsia" w:cstheme="majorBidi"/>
      <w:iCs/>
    </w:rPr>
  </w:style>
  <w:style w:type="paragraph" w:styleId="Ttulo7">
    <w:name w:val="heading 7"/>
    <w:basedOn w:val="Normal"/>
    <w:next w:val="Normal"/>
    <w:link w:val="Ttulo7Car"/>
    <w:uiPriority w:val="7"/>
    <w:semiHidden/>
    <w:rsid w:val="00091BDF"/>
    <w:pPr>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
    <w:qFormat/>
    <w:rsid w:val="00091BDF"/>
    <w:pPr>
      <w:keepNext/>
      <w:contextualSpacing/>
      <w:jc w:val="center"/>
    </w:pPr>
    <w:rPr>
      <w:rFonts w:eastAsiaTheme="majorEastAsia" w:cstheme="majorBidi"/>
      <w:b/>
      <w:caps/>
      <w:spacing w:val="5"/>
      <w:kern w:val="28"/>
      <w:szCs w:val="52"/>
    </w:rPr>
  </w:style>
  <w:style w:type="character" w:customStyle="1" w:styleId="TtuloCar">
    <w:name w:val="Título Car"/>
    <w:basedOn w:val="Fuentedeprrafopredeter"/>
    <w:link w:val="Ttulo"/>
    <w:uiPriority w:val="1"/>
    <w:rsid w:val="00091BDF"/>
    <w:rPr>
      <w:rFonts w:asciiTheme="minorHAnsi" w:eastAsiaTheme="majorEastAsia" w:hAnsiTheme="minorHAnsi" w:cstheme="majorBidi"/>
      <w:b/>
      <w:caps/>
      <w:spacing w:val="5"/>
      <w:kern w:val="28"/>
      <w:szCs w:val="52"/>
    </w:rPr>
  </w:style>
  <w:style w:type="character" w:customStyle="1" w:styleId="Ttulo1Car">
    <w:name w:val="Título 1 Car"/>
    <w:basedOn w:val="Fuentedeprrafopredeter"/>
    <w:link w:val="Ttulo1"/>
    <w:uiPriority w:val="2"/>
    <w:rsid w:val="002220FF"/>
    <w:rPr>
      <w:rFonts w:asciiTheme="minorHAnsi" w:eastAsiaTheme="majorEastAsia" w:hAnsiTheme="minorHAnsi" w:cstheme="majorBidi"/>
      <w:b/>
      <w:bCs/>
      <w:caps/>
      <w:szCs w:val="28"/>
    </w:rPr>
  </w:style>
  <w:style w:type="character" w:customStyle="1" w:styleId="Ttulo2Car">
    <w:name w:val="Título 2 Car"/>
    <w:basedOn w:val="Fuentedeprrafopredeter"/>
    <w:link w:val="Ttulo2"/>
    <w:uiPriority w:val="3"/>
    <w:rsid w:val="002220FF"/>
    <w:rPr>
      <w:rFonts w:asciiTheme="minorHAnsi" w:eastAsiaTheme="majorEastAsia" w:hAnsiTheme="minorHAnsi" w:cstheme="majorBidi"/>
      <w:b/>
      <w:bCs/>
      <w:szCs w:val="26"/>
    </w:rPr>
  </w:style>
  <w:style w:type="character" w:customStyle="1" w:styleId="Ttulo3Car">
    <w:name w:val="Título 3 Car"/>
    <w:basedOn w:val="Fuentedeprrafopredeter"/>
    <w:link w:val="Ttulo3"/>
    <w:uiPriority w:val="4"/>
    <w:rsid w:val="002220FF"/>
    <w:rPr>
      <w:rFonts w:asciiTheme="minorHAnsi" w:eastAsiaTheme="majorEastAsia" w:hAnsiTheme="minorHAnsi" w:cstheme="majorBidi"/>
      <w:bCs/>
      <w:i/>
      <w:szCs w:val="22"/>
    </w:rPr>
  </w:style>
  <w:style w:type="character" w:customStyle="1" w:styleId="Ttulo4Car">
    <w:name w:val="Título 4 Car"/>
    <w:basedOn w:val="Fuentedeprrafopredeter"/>
    <w:link w:val="Ttulo4"/>
    <w:uiPriority w:val="5"/>
    <w:rsid w:val="002220FF"/>
    <w:rPr>
      <w:rFonts w:asciiTheme="minorHAnsi" w:eastAsiaTheme="majorEastAsia" w:hAnsiTheme="minorHAnsi" w:cstheme="majorBidi"/>
      <w:bCs/>
      <w:iCs/>
      <w:szCs w:val="22"/>
    </w:rPr>
  </w:style>
  <w:style w:type="paragraph" w:styleId="Prrafodelista">
    <w:name w:val="List Paragraph"/>
    <w:basedOn w:val="Normal"/>
    <w:uiPriority w:val="34"/>
    <w:qFormat/>
    <w:rsid w:val="00091BDF"/>
    <w:pPr>
      <w:ind w:left="709"/>
    </w:pPr>
  </w:style>
  <w:style w:type="paragraph" w:customStyle="1" w:styleId="TextoNivel4">
    <w:name w:val="Texto Nivel 4"/>
    <w:basedOn w:val="Normal"/>
    <w:uiPriority w:val="8"/>
    <w:qFormat/>
    <w:rsid w:val="00091BDF"/>
    <w:pPr>
      <w:ind w:left="709"/>
    </w:pPr>
  </w:style>
  <w:style w:type="character" w:customStyle="1" w:styleId="Ttulo5Car">
    <w:name w:val="Título 5 Car"/>
    <w:basedOn w:val="Fuentedeprrafopredeter"/>
    <w:link w:val="Ttulo5"/>
    <w:uiPriority w:val="6"/>
    <w:rsid w:val="002220FF"/>
    <w:rPr>
      <w:rFonts w:asciiTheme="minorHAnsi" w:eastAsiaTheme="majorEastAsia" w:hAnsiTheme="minorHAnsi" w:cstheme="majorBidi"/>
      <w:szCs w:val="22"/>
    </w:rPr>
  </w:style>
  <w:style w:type="paragraph" w:customStyle="1" w:styleId="Textonivel5">
    <w:name w:val="Texto nivel 5"/>
    <w:basedOn w:val="Normal"/>
    <w:uiPriority w:val="9"/>
    <w:qFormat/>
    <w:rsid w:val="00091BDF"/>
    <w:pPr>
      <w:ind w:left="1134"/>
    </w:pPr>
  </w:style>
  <w:style w:type="paragraph" w:customStyle="1" w:styleId="Textonivel6">
    <w:name w:val="Texto nivel 6"/>
    <w:basedOn w:val="Normal"/>
    <w:uiPriority w:val="10"/>
    <w:qFormat/>
    <w:rsid w:val="00091BDF"/>
    <w:pPr>
      <w:ind w:left="1701"/>
    </w:pPr>
  </w:style>
  <w:style w:type="character" w:customStyle="1" w:styleId="Ttulo6Car">
    <w:name w:val="Título 6 Car"/>
    <w:basedOn w:val="Fuentedeprrafopredeter"/>
    <w:link w:val="Ttulo6"/>
    <w:uiPriority w:val="7"/>
    <w:rsid w:val="002220FF"/>
    <w:rPr>
      <w:rFonts w:asciiTheme="minorHAnsi" w:eastAsiaTheme="majorEastAsia" w:hAnsiTheme="minorHAnsi" w:cstheme="majorBidi"/>
      <w:iCs/>
      <w:szCs w:val="22"/>
    </w:rPr>
  </w:style>
  <w:style w:type="numbering" w:customStyle="1" w:styleId="ListaUM1">
    <w:name w:val="Lista UM 1"/>
    <w:uiPriority w:val="99"/>
    <w:rsid w:val="00091BDF"/>
    <w:pPr>
      <w:numPr>
        <w:numId w:val="2"/>
      </w:numPr>
    </w:pPr>
  </w:style>
  <w:style w:type="numbering" w:customStyle="1" w:styleId="ListaUM2">
    <w:name w:val="Lista UM 2"/>
    <w:uiPriority w:val="99"/>
    <w:rsid w:val="00091BDF"/>
    <w:pPr>
      <w:numPr>
        <w:numId w:val="3"/>
      </w:numPr>
    </w:pPr>
  </w:style>
  <w:style w:type="paragraph" w:customStyle="1" w:styleId="Citas">
    <w:name w:val="Citas"/>
    <w:basedOn w:val="Normal"/>
    <w:next w:val="Normal"/>
    <w:uiPriority w:val="11"/>
    <w:qFormat/>
    <w:rsid w:val="00091BDF"/>
    <w:pPr>
      <w:ind w:left="567" w:right="567"/>
    </w:pPr>
    <w:rPr>
      <w:i/>
    </w:rPr>
  </w:style>
  <w:style w:type="paragraph" w:styleId="Textonotapie">
    <w:name w:val="footnote text"/>
    <w:basedOn w:val="Normal"/>
    <w:link w:val="TextonotapieCar"/>
    <w:uiPriority w:val="99"/>
    <w:semiHidden/>
    <w:unhideWhenUsed/>
    <w:qFormat/>
    <w:rsid w:val="00091BDF"/>
    <w:pPr>
      <w:tabs>
        <w:tab w:val="left" w:pos="709"/>
      </w:tabs>
      <w:spacing w:before="60" w:after="60" w:line="240" w:lineRule="auto"/>
    </w:pPr>
    <w:rPr>
      <w:sz w:val="20"/>
    </w:rPr>
  </w:style>
  <w:style w:type="character" w:customStyle="1" w:styleId="TextonotapieCar">
    <w:name w:val="Texto nota pie Car"/>
    <w:basedOn w:val="Fuentedeprrafopredeter"/>
    <w:link w:val="Textonotapie"/>
    <w:uiPriority w:val="99"/>
    <w:semiHidden/>
    <w:rsid w:val="00091BDF"/>
    <w:rPr>
      <w:rFonts w:asciiTheme="minorHAnsi" w:hAnsiTheme="minorHAnsi"/>
      <w:sz w:val="20"/>
      <w:szCs w:val="22"/>
    </w:rPr>
  </w:style>
  <w:style w:type="character" w:styleId="Refdenotaalpie">
    <w:name w:val="footnote reference"/>
    <w:basedOn w:val="Fuentedeprrafopredeter"/>
    <w:uiPriority w:val="99"/>
    <w:semiHidden/>
    <w:unhideWhenUsed/>
    <w:rsid w:val="00091BDF"/>
    <w:rPr>
      <w:vertAlign w:val="superscript"/>
    </w:rPr>
  </w:style>
  <w:style w:type="table" w:styleId="Tablaconcuadrcula">
    <w:name w:val="Table Grid"/>
    <w:basedOn w:val="Tablanormal"/>
    <w:uiPriority w:val="59"/>
    <w:rsid w:val="00091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UM">
    <w:name w:val="Tabla UM"/>
    <w:basedOn w:val="Tablanormal"/>
    <w:uiPriority w:val="99"/>
    <w:qFormat/>
    <w:rsid w:val="00091BDF"/>
    <w:pPr>
      <w:spacing w:before="60" w:after="60" w:line="240" w:lineRule="auto"/>
    </w:pPr>
    <w:rPr>
      <w:sz w:val="20"/>
    </w:rPr>
    <w:tblP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center"/>
      </w:pPr>
      <w:rPr>
        <w:rFonts w:ascii="Times New Roman" w:hAnsi="Times New Roman"/>
        <w:b/>
        <w:sz w:val="20"/>
      </w:rPr>
      <w:tblPr/>
      <w:trPr>
        <w:tblHeader/>
      </w:trPr>
      <w:tcPr>
        <w:shd w:val="clear" w:color="auto" w:fill="D9D9D9" w:themeFill="background1" w:themeFillShade="D9"/>
      </w:tcPr>
    </w:tblStylePr>
  </w:style>
  <w:style w:type="paragraph" w:customStyle="1" w:styleId="Notaapiedetabla">
    <w:name w:val="Nota a pie de tabla"/>
    <w:basedOn w:val="Normal"/>
    <w:next w:val="Normal"/>
    <w:uiPriority w:val="12"/>
    <w:qFormat/>
    <w:rsid w:val="00091BDF"/>
    <w:pPr>
      <w:spacing w:before="60" w:after="60" w:line="240" w:lineRule="auto"/>
    </w:pPr>
    <w:rPr>
      <w:sz w:val="20"/>
    </w:rPr>
  </w:style>
  <w:style w:type="paragraph" w:styleId="Encabezado">
    <w:name w:val="header"/>
    <w:basedOn w:val="Normal"/>
    <w:link w:val="EncabezadoCar"/>
    <w:uiPriority w:val="13"/>
    <w:unhideWhenUsed/>
    <w:rsid w:val="00091BDF"/>
    <w:pPr>
      <w:tabs>
        <w:tab w:val="right" w:pos="8504"/>
      </w:tabs>
      <w:spacing w:before="0" w:after="0" w:line="240" w:lineRule="auto"/>
    </w:pPr>
    <w:rPr>
      <w:sz w:val="20"/>
    </w:rPr>
  </w:style>
  <w:style w:type="character" w:customStyle="1" w:styleId="EncabezadoCar">
    <w:name w:val="Encabezado Car"/>
    <w:basedOn w:val="Fuentedeprrafopredeter"/>
    <w:link w:val="Encabezado"/>
    <w:uiPriority w:val="13"/>
    <w:rsid w:val="00091BDF"/>
    <w:rPr>
      <w:rFonts w:asciiTheme="minorHAnsi" w:hAnsiTheme="minorHAnsi"/>
      <w:sz w:val="20"/>
      <w:szCs w:val="22"/>
    </w:rPr>
  </w:style>
  <w:style w:type="paragraph" w:styleId="Piedepgina">
    <w:name w:val="footer"/>
    <w:basedOn w:val="Normal"/>
    <w:link w:val="PiedepginaCar"/>
    <w:uiPriority w:val="14"/>
    <w:unhideWhenUsed/>
    <w:rsid w:val="00091BDF"/>
    <w:pPr>
      <w:tabs>
        <w:tab w:val="right" w:pos="9072"/>
      </w:tabs>
      <w:spacing w:before="0" w:after="0" w:line="240" w:lineRule="auto"/>
    </w:pPr>
    <w:rPr>
      <w:sz w:val="16"/>
    </w:rPr>
  </w:style>
  <w:style w:type="character" w:customStyle="1" w:styleId="PiedepginaCar">
    <w:name w:val="Pie de página Car"/>
    <w:basedOn w:val="Fuentedeprrafopredeter"/>
    <w:link w:val="Piedepgina"/>
    <w:uiPriority w:val="14"/>
    <w:rsid w:val="00091BDF"/>
    <w:rPr>
      <w:rFonts w:asciiTheme="minorHAnsi" w:hAnsiTheme="minorHAnsi"/>
      <w:sz w:val="16"/>
      <w:szCs w:val="22"/>
    </w:rPr>
  </w:style>
  <w:style w:type="paragraph" w:styleId="Textodeglobo">
    <w:name w:val="Balloon Text"/>
    <w:basedOn w:val="Normal"/>
    <w:link w:val="TextodegloboCar"/>
    <w:uiPriority w:val="99"/>
    <w:semiHidden/>
    <w:unhideWhenUsed/>
    <w:rsid w:val="00091BDF"/>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1BDF"/>
    <w:rPr>
      <w:rFonts w:ascii="Tahoma" w:hAnsi="Tahoma" w:cs="Tahoma"/>
      <w:sz w:val="16"/>
      <w:szCs w:val="16"/>
    </w:rPr>
  </w:style>
  <w:style w:type="paragraph" w:styleId="TDC3">
    <w:name w:val="toc 3"/>
    <w:basedOn w:val="Normal"/>
    <w:next w:val="Normal"/>
    <w:autoRedefine/>
    <w:uiPriority w:val="39"/>
    <w:unhideWhenUsed/>
    <w:rsid w:val="00091BDF"/>
    <w:pPr>
      <w:tabs>
        <w:tab w:val="left" w:pos="709"/>
        <w:tab w:val="right" w:leader="dot" w:pos="9061"/>
      </w:tabs>
      <w:ind w:left="709" w:hanging="709"/>
    </w:pPr>
    <w:rPr>
      <w:i/>
    </w:rPr>
  </w:style>
  <w:style w:type="paragraph" w:styleId="TDC1">
    <w:name w:val="toc 1"/>
    <w:basedOn w:val="Normal"/>
    <w:next w:val="Normal"/>
    <w:autoRedefine/>
    <w:uiPriority w:val="39"/>
    <w:unhideWhenUsed/>
    <w:rsid w:val="00091BDF"/>
    <w:pPr>
      <w:tabs>
        <w:tab w:val="left" w:pos="709"/>
        <w:tab w:val="right" w:leader="dot" w:pos="9061"/>
      </w:tabs>
      <w:ind w:left="709" w:hanging="709"/>
    </w:pPr>
    <w:rPr>
      <w:b/>
      <w:caps/>
    </w:rPr>
  </w:style>
  <w:style w:type="paragraph" w:styleId="TDC2">
    <w:name w:val="toc 2"/>
    <w:basedOn w:val="Normal"/>
    <w:next w:val="Normal"/>
    <w:autoRedefine/>
    <w:uiPriority w:val="39"/>
    <w:unhideWhenUsed/>
    <w:rsid w:val="00091BDF"/>
    <w:pPr>
      <w:tabs>
        <w:tab w:val="left" w:pos="709"/>
        <w:tab w:val="right" w:leader="dot" w:pos="9061"/>
      </w:tabs>
      <w:ind w:left="709" w:hanging="709"/>
    </w:pPr>
  </w:style>
  <w:style w:type="character" w:styleId="Hipervnculo">
    <w:name w:val="Hyperlink"/>
    <w:basedOn w:val="Fuentedeprrafopredeter"/>
    <w:uiPriority w:val="99"/>
    <w:unhideWhenUsed/>
    <w:rsid w:val="00091BDF"/>
    <w:rPr>
      <w:color w:val="318FFF" w:themeColor="hyperlink"/>
      <w:u w:val="single"/>
    </w:rPr>
  </w:style>
  <w:style w:type="character" w:customStyle="1" w:styleId="Ttulo7Car">
    <w:name w:val="Título 7 Car"/>
    <w:basedOn w:val="Fuentedeprrafopredeter"/>
    <w:link w:val="Ttulo7"/>
    <w:uiPriority w:val="7"/>
    <w:semiHidden/>
    <w:rsid w:val="00091BDF"/>
    <w:rPr>
      <w:rFonts w:asciiTheme="majorHAnsi" w:eastAsiaTheme="majorEastAsia" w:hAnsiTheme="majorHAnsi" w:cstheme="majorBidi"/>
      <w:i/>
      <w:iCs/>
      <w:color w:val="404040" w:themeColor="text1" w:themeTint="BF"/>
      <w:szCs w:val="22"/>
    </w:rPr>
  </w:style>
  <w:style w:type="numbering" w:customStyle="1" w:styleId="ListaUM3">
    <w:name w:val="Lista UM 3"/>
    <w:uiPriority w:val="99"/>
    <w:rsid w:val="00091BDF"/>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s-ES"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3" w:qFormat="1"/>
    <w:lsdException w:name="heading 3" w:uiPriority="4" w:qFormat="1"/>
    <w:lsdException w:name="heading 4" w:uiPriority="5" w:qFormat="1"/>
    <w:lsdException w:name="heading 5" w:uiPriority="6" w:qFormat="1"/>
    <w:lsdException w:name="heading 6" w:uiPriority="7" w:qFormat="1"/>
    <w:lsdException w:name="heading 7" w:uiPriority="7"/>
    <w:lsdException w:name="heading 8" w:uiPriority="7" w:qFormat="1"/>
    <w:lsdException w:name="heading 9" w:uiPriority="7"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13"/>
    <w:lsdException w:name="footer" w:uiPriority="14"/>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AE027C"/>
    <w:rPr>
      <w:rFonts w:asciiTheme="minorHAnsi" w:hAnsiTheme="minorHAnsi"/>
      <w:szCs w:val="22"/>
    </w:rPr>
  </w:style>
  <w:style w:type="paragraph" w:styleId="Ttulo1">
    <w:name w:val="heading 1"/>
    <w:basedOn w:val="Normal"/>
    <w:next w:val="Normal"/>
    <w:link w:val="Ttulo1Car"/>
    <w:uiPriority w:val="2"/>
    <w:qFormat/>
    <w:rsid w:val="002220FF"/>
    <w:pPr>
      <w:keepNext/>
      <w:numPr>
        <w:numId w:val="1"/>
      </w:numPr>
      <w:outlineLvl w:val="0"/>
    </w:pPr>
    <w:rPr>
      <w:rFonts w:eastAsiaTheme="majorEastAsia" w:cstheme="majorBidi"/>
      <w:b/>
      <w:bCs/>
      <w:caps/>
      <w:szCs w:val="28"/>
    </w:rPr>
  </w:style>
  <w:style w:type="paragraph" w:styleId="Ttulo2">
    <w:name w:val="heading 2"/>
    <w:basedOn w:val="Normal"/>
    <w:next w:val="Normal"/>
    <w:link w:val="Ttulo2Car"/>
    <w:uiPriority w:val="3"/>
    <w:qFormat/>
    <w:rsid w:val="002220FF"/>
    <w:pPr>
      <w:keepNext/>
      <w:numPr>
        <w:ilvl w:val="1"/>
        <w:numId w:val="1"/>
      </w:numPr>
      <w:outlineLvl w:val="1"/>
    </w:pPr>
    <w:rPr>
      <w:rFonts w:eastAsiaTheme="majorEastAsia" w:cstheme="majorBidi"/>
      <w:b/>
      <w:bCs/>
      <w:szCs w:val="26"/>
    </w:rPr>
  </w:style>
  <w:style w:type="paragraph" w:styleId="Ttulo3">
    <w:name w:val="heading 3"/>
    <w:basedOn w:val="Normal"/>
    <w:next w:val="Normal"/>
    <w:link w:val="Ttulo3Car"/>
    <w:uiPriority w:val="4"/>
    <w:qFormat/>
    <w:rsid w:val="002220FF"/>
    <w:pPr>
      <w:keepNext/>
      <w:numPr>
        <w:ilvl w:val="2"/>
        <w:numId w:val="1"/>
      </w:numPr>
      <w:outlineLvl w:val="2"/>
    </w:pPr>
    <w:rPr>
      <w:rFonts w:eastAsiaTheme="majorEastAsia" w:cstheme="majorBidi"/>
      <w:bCs/>
      <w:i/>
    </w:rPr>
  </w:style>
  <w:style w:type="paragraph" w:styleId="Ttulo4">
    <w:name w:val="heading 4"/>
    <w:basedOn w:val="Normal"/>
    <w:next w:val="TextoNivel4"/>
    <w:link w:val="Ttulo4Car"/>
    <w:uiPriority w:val="5"/>
    <w:qFormat/>
    <w:rsid w:val="002220FF"/>
    <w:pPr>
      <w:numPr>
        <w:ilvl w:val="3"/>
        <w:numId w:val="1"/>
      </w:numPr>
      <w:outlineLvl w:val="3"/>
    </w:pPr>
    <w:rPr>
      <w:rFonts w:eastAsiaTheme="majorEastAsia" w:cstheme="majorBidi"/>
      <w:bCs/>
      <w:iCs/>
    </w:rPr>
  </w:style>
  <w:style w:type="paragraph" w:styleId="Ttulo5">
    <w:name w:val="heading 5"/>
    <w:basedOn w:val="Normal"/>
    <w:next w:val="Textonivel5"/>
    <w:link w:val="Ttulo5Car"/>
    <w:uiPriority w:val="6"/>
    <w:qFormat/>
    <w:rsid w:val="002220FF"/>
    <w:pPr>
      <w:numPr>
        <w:ilvl w:val="4"/>
        <w:numId w:val="1"/>
      </w:numPr>
      <w:outlineLvl w:val="4"/>
    </w:pPr>
    <w:rPr>
      <w:rFonts w:eastAsiaTheme="majorEastAsia" w:cstheme="majorBidi"/>
    </w:rPr>
  </w:style>
  <w:style w:type="paragraph" w:styleId="Ttulo6">
    <w:name w:val="heading 6"/>
    <w:basedOn w:val="Normal"/>
    <w:next w:val="Textonivel6"/>
    <w:link w:val="Ttulo6Car"/>
    <w:uiPriority w:val="7"/>
    <w:qFormat/>
    <w:rsid w:val="002220FF"/>
    <w:pPr>
      <w:numPr>
        <w:ilvl w:val="5"/>
        <w:numId w:val="1"/>
      </w:numPr>
      <w:outlineLvl w:val="5"/>
    </w:pPr>
    <w:rPr>
      <w:rFonts w:eastAsiaTheme="majorEastAsia" w:cstheme="majorBidi"/>
      <w:iCs/>
    </w:rPr>
  </w:style>
  <w:style w:type="paragraph" w:styleId="Ttulo7">
    <w:name w:val="heading 7"/>
    <w:basedOn w:val="Normal"/>
    <w:next w:val="Normal"/>
    <w:link w:val="Ttulo7Car"/>
    <w:uiPriority w:val="7"/>
    <w:semiHidden/>
    <w:rsid w:val="00091BDF"/>
    <w:pPr>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
    <w:qFormat/>
    <w:rsid w:val="00091BDF"/>
    <w:pPr>
      <w:keepNext/>
      <w:contextualSpacing/>
      <w:jc w:val="center"/>
    </w:pPr>
    <w:rPr>
      <w:rFonts w:eastAsiaTheme="majorEastAsia" w:cstheme="majorBidi"/>
      <w:b/>
      <w:caps/>
      <w:spacing w:val="5"/>
      <w:kern w:val="28"/>
      <w:szCs w:val="52"/>
    </w:rPr>
  </w:style>
  <w:style w:type="character" w:customStyle="1" w:styleId="TtuloCar">
    <w:name w:val="Título Car"/>
    <w:basedOn w:val="Fuentedeprrafopredeter"/>
    <w:link w:val="Ttulo"/>
    <w:uiPriority w:val="1"/>
    <w:rsid w:val="00091BDF"/>
    <w:rPr>
      <w:rFonts w:asciiTheme="minorHAnsi" w:eastAsiaTheme="majorEastAsia" w:hAnsiTheme="minorHAnsi" w:cstheme="majorBidi"/>
      <w:b/>
      <w:caps/>
      <w:spacing w:val="5"/>
      <w:kern w:val="28"/>
      <w:szCs w:val="52"/>
    </w:rPr>
  </w:style>
  <w:style w:type="character" w:customStyle="1" w:styleId="Ttulo1Car">
    <w:name w:val="Título 1 Car"/>
    <w:basedOn w:val="Fuentedeprrafopredeter"/>
    <w:link w:val="Ttulo1"/>
    <w:uiPriority w:val="2"/>
    <w:rsid w:val="002220FF"/>
    <w:rPr>
      <w:rFonts w:asciiTheme="minorHAnsi" w:eastAsiaTheme="majorEastAsia" w:hAnsiTheme="minorHAnsi" w:cstheme="majorBidi"/>
      <w:b/>
      <w:bCs/>
      <w:caps/>
      <w:szCs w:val="28"/>
    </w:rPr>
  </w:style>
  <w:style w:type="character" w:customStyle="1" w:styleId="Ttulo2Car">
    <w:name w:val="Título 2 Car"/>
    <w:basedOn w:val="Fuentedeprrafopredeter"/>
    <w:link w:val="Ttulo2"/>
    <w:uiPriority w:val="3"/>
    <w:rsid w:val="002220FF"/>
    <w:rPr>
      <w:rFonts w:asciiTheme="minorHAnsi" w:eastAsiaTheme="majorEastAsia" w:hAnsiTheme="minorHAnsi" w:cstheme="majorBidi"/>
      <w:b/>
      <w:bCs/>
      <w:szCs w:val="26"/>
    </w:rPr>
  </w:style>
  <w:style w:type="character" w:customStyle="1" w:styleId="Ttulo3Car">
    <w:name w:val="Título 3 Car"/>
    <w:basedOn w:val="Fuentedeprrafopredeter"/>
    <w:link w:val="Ttulo3"/>
    <w:uiPriority w:val="4"/>
    <w:rsid w:val="002220FF"/>
    <w:rPr>
      <w:rFonts w:asciiTheme="minorHAnsi" w:eastAsiaTheme="majorEastAsia" w:hAnsiTheme="minorHAnsi" w:cstheme="majorBidi"/>
      <w:bCs/>
      <w:i/>
      <w:szCs w:val="22"/>
    </w:rPr>
  </w:style>
  <w:style w:type="character" w:customStyle="1" w:styleId="Ttulo4Car">
    <w:name w:val="Título 4 Car"/>
    <w:basedOn w:val="Fuentedeprrafopredeter"/>
    <w:link w:val="Ttulo4"/>
    <w:uiPriority w:val="5"/>
    <w:rsid w:val="002220FF"/>
    <w:rPr>
      <w:rFonts w:asciiTheme="minorHAnsi" w:eastAsiaTheme="majorEastAsia" w:hAnsiTheme="minorHAnsi" w:cstheme="majorBidi"/>
      <w:bCs/>
      <w:iCs/>
      <w:szCs w:val="22"/>
    </w:rPr>
  </w:style>
  <w:style w:type="paragraph" w:styleId="Prrafodelista">
    <w:name w:val="List Paragraph"/>
    <w:basedOn w:val="Normal"/>
    <w:uiPriority w:val="34"/>
    <w:qFormat/>
    <w:rsid w:val="00091BDF"/>
    <w:pPr>
      <w:ind w:left="709"/>
    </w:pPr>
  </w:style>
  <w:style w:type="paragraph" w:customStyle="1" w:styleId="TextoNivel4">
    <w:name w:val="Texto Nivel 4"/>
    <w:basedOn w:val="Normal"/>
    <w:uiPriority w:val="8"/>
    <w:qFormat/>
    <w:rsid w:val="00091BDF"/>
    <w:pPr>
      <w:ind w:left="709"/>
    </w:pPr>
  </w:style>
  <w:style w:type="character" w:customStyle="1" w:styleId="Ttulo5Car">
    <w:name w:val="Título 5 Car"/>
    <w:basedOn w:val="Fuentedeprrafopredeter"/>
    <w:link w:val="Ttulo5"/>
    <w:uiPriority w:val="6"/>
    <w:rsid w:val="002220FF"/>
    <w:rPr>
      <w:rFonts w:asciiTheme="minorHAnsi" w:eastAsiaTheme="majorEastAsia" w:hAnsiTheme="minorHAnsi" w:cstheme="majorBidi"/>
      <w:szCs w:val="22"/>
    </w:rPr>
  </w:style>
  <w:style w:type="paragraph" w:customStyle="1" w:styleId="Textonivel5">
    <w:name w:val="Texto nivel 5"/>
    <w:basedOn w:val="Normal"/>
    <w:uiPriority w:val="9"/>
    <w:qFormat/>
    <w:rsid w:val="00091BDF"/>
    <w:pPr>
      <w:ind w:left="1134"/>
    </w:pPr>
  </w:style>
  <w:style w:type="paragraph" w:customStyle="1" w:styleId="Textonivel6">
    <w:name w:val="Texto nivel 6"/>
    <w:basedOn w:val="Normal"/>
    <w:uiPriority w:val="10"/>
    <w:qFormat/>
    <w:rsid w:val="00091BDF"/>
    <w:pPr>
      <w:ind w:left="1701"/>
    </w:pPr>
  </w:style>
  <w:style w:type="character" w:customStyle="1" w:styleId="Ttulo6Car">
    <w:name w:val="Título 6 Car"/>
    <w:basedOn w:val="Fuentedeprrafopredeter"/>
    <w:link w:val="Ttulo6"/>
    <w:uiPriority w:val="7"/>
    <w:rsid w:val="002220FF"/>
    <w:rPr>
      <w:rFonts w:asciiTheme="minorHAnsi" w:eastAsiaTheme="majorEastAsia" w:hAnsiTheme="minorHAnsi" w:cstheme="majorBidi"/>
      <w:iCs/>
      <w:szCs w:val="22"/>
    </w:rPr>
  </w:style>
  <w:style w:type="numbering" w:customStyle="1" w:styleId="ListaUM1">
    <w:name w:val="Lista UM 1"/>
    <w:uiPriority w:val="99"/>
    <w:rsid w:val="00091BDF"/>
    <w:pPr>
      <w:numPr>
        <w:numId w:val="2"/>
      </w:numPr>
    </w:pPr>
  </w:style>
  <w:style w:type="numbering" w:customStyle="1" w:styleId="ListaUM2">
    <w:name w:val="Lista UM 2"/>
    <w:uiPriority w:val="99"/>
    <w:rsid w:val="00091BDF"/>
    <w:pPr>
      <w:numPr>
        <w:numId w:val="3"/>
      </w:numPr>
    </w:pPr>
  </w:style>
  <w:style w:type="paragraph" w:customStyle="1" w:styleId="Citas">
    <w:name w:val="Citas"/>
    <w:basedOn w:val="Normal"/>
    <w:next w:val="Normal"/>
    <w:uiPriority w:val="11"/>
    <w:qFormat/>
    <w:rsid w:val="00091BDF"/>
    <w:pPr>
      <w:ind w:left="567" w:right="567"/>
    </w:pPr>
    <w:rPr>
      <w:i/>
    </w:rPr>
  </w:style>
  <w:style w:type="paragraph" w:styleId="Textonotapie">
    <w:name w:val="footnote text"/>
    <w:basedOn w:val="Normal"/>
    <w:link w:val="TextonotapieCar"/>
    <w:uiPriority w:val="99"/>
    <w:semiHidden/>
    <w:unhideWhenUsed/>
    <w:qFormat/>
    <w:rsid w:val="00091BDF"/>
    <w:pPr>
      <w:tabs>
        <w:tab w:val="left" w:pos="709"/>
      </w:tabs>
      <w:spacing w:before="60" w:after="60" w:line="240" w:lineRule="auto"/>
    </w:pPr>
    <w:rPr>
      <w:sz w:val="20"/>
    </w:rPr>
  </w:style>
  <w:style w:type="character" w:customStyle="1" w:styleId="TextonotapieCar">
    <w:name w:val="Texto nota pie Car"/>
    <w:basedOn w:val="Fuentedeprrafopredeter"/>
    <w:link w:val="Textonotapie"/>
    <w:uiPriority w:val="99"/>
    <w:semiHidden/>
    <w:rsid w:val="00091BDF"/>
    <w:rPr>
      <w:rFonts w:asciiTheme="minorHAnsi" w:hAnsiTheme="minorHAnsi"/>
      <w:sz w:val="20"/>
      <w:szCs w:val="22"/>
    </w:rPr>
  </w:style>
  <w:style w:type="character" w:styleId="Refdenotaalpie">
    <w:name w:val="footnote reference"/>
    <w:basedOn w:val="Fuentedeprrafopredeter"/>
    <w:uiPriority w:val="99"/>
    <w:semiHidden/>
    <w:unhideWhenUsed/>
    <w:rsid w:val="00091BDF"/>
    <w:rPr>
      <w:vertAlign w:val="superscript"/>
    </w:rPr>
  </w:style>
  <w:style w:type="table" w:styleId="Tablaconcuadrcula">
    <w:name w:val="Table Grid"/>
    <w:basedOn w:val="Tablanormal"/>
    <w:uiPriority w:val="59"/>
    <w:rsid w:val="00091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UM">
    <w:name w:val="Tabla UM"/>
    <w:basedOn w:val="Tablanormal"/>
    <w:uiPriority w:val="99"/>
    <w:qFormat/>
    <w:rsid w:val="00091BDF"/>
    <w:pPr>
      <w:spacing w:before="60" w:after="60" w:line="240" w:lineRule="auto"/>
    </w:pPr>
    <w:rPr>
      <w:sz w:val="20"/>
    </w:rPr>
    <w:tblP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center"/>
      </w:pPr>
      <w:rPr>
        <w:rFonts w:ascii="Times New Roman" w:hAnsi="Times New Roman"/>
        <w:b/>
        <w:sz w:val="20"/>
      </w:rPr>
      <w:tblPr/>
      <w:trPr>
        <w:tblHeader/>
      </w:trPr>
      <w:tcPr>
        <w:shd w:val="clear" w:color="auto" w:fill="D9D9D9" w:themeFill="background1" w:themeFillShade="D9"/>
      </w:tcPr>
    </w:tblStylePr>
  </w:style>
  <w:style w:type="paragraph" w:customStyle="1" w:styleId="Notaapiedetabla">
    <w:name w:val="Nota a pie de tabla"/>
    <w:basedOn w:val="Normal"/>
    <w:next w:val="Normal"/>
    <w:uiPriority w:val="12"/>
    <w:qFormat/>
    <w:rsid w:val="00091BDF"/>
    <w:pPr>
      <w:spacing w:before="60" w:after="60" w:line="240" w:lineRule="auto"/>
    </w:pPr>
    <w:rPr>
      <w:sz w:val="20"/>
    </w:rPr>
  </w:style>
  <w:style w:type="paragraph" w:styleId="Encabezado">
    <w:name w:val="header"/>
    <w:basedOn w:val="Normal"/>
    <w:link w:val="EncabezadoCar"/>
    <w:uiPriority w:val="13"/>
    <w:unhideWhenUsed/>
    <w:rsid w:val="00091BDF"/>
    <w:pPr>
      <w:tabs>
        <w:tab w:val="right" w:pos="8504"/>
      </w:tabs>
      <w:spacing w:before="0" w:after="0" w:line="240" w:lineRule="auto"/>
    </w:pPr>
    <w:rPr>
      <w:sz w:val="20"/>
    </w:rPr>
  </w:style>
  <w:style w:type="character" w:customStyle="1" w:styleId="EncabezadoCar">
    <w:name w:val="Encabezado Car"/>
    <w:basedOn w:val="Fuentedeprrafopredeter"/>
    <w:link w:val="Encabezado"/>
    <w:uiPriority w:val="13"/>
    <w:rsid w:val="00091BDF"/>
    <w:rPr>
      <w:rFonts w:asciiTheme="minorHAnsi" w:hAnsiTheme="minorHAnsi"/>
      <w:sz w:val="20"/>
      <w:szCs w:val="22"/>
    </w:rPr>
  </w:style>
  <w:style w:type="paragraph" w:styleId="Piedepgina">
    <w:name w:val="footer"/>
    <w:basedOn w:val="Normal"/>
    <w:link w:val="PiedepginaCar"/>
    <w:uiPriority w:val="14"/>
    <w:unhideWhenUsed/>
    <w:rsid w:val="00091BDF"/>
    <w:pPr>
      <w:tabs>
        <w:tab w:val="right" w:pos="9072"/>
      </w:tabs>
      <w:spacing w:before="0" w:after="0" w:line="240" w:lineRule="auto"/>
    </w:pPr>
    <w:rPr>
      <w:sz w:val="16"/>
    </w:rPr>
  </w:style>
  <w:style w:type="character" w:customStyle="1" w:styleId="PiedepginaCar">
    <w:name w:val="Pie de página Car"/>
    <w:basedOn w:val="Fuentedeprrafopredeter"/>
    <w:link w:val="Piedepgina"/>
    <w:uiPriority w:val="14"/>
    <w:rsid w:val="00091BDF"/>
    <w:rPr>
      <w:rFonts w:asciiTheme="minorHAnsi" w:hAnsiTheme="minorHAnsi"/>
      <w:sz w:val="16"/>
      <w:szCs w:val="22"/>
    </w:rPr>
  </w:style>
  <w:style w:type="paragraph" w:styleId="Textodeglobo">
    <w:name w:val="Balloon Text"/>
    <w:basedOn w:val="Normal"/>
    <w:link w:val="TextodegloboCar"/>
    <w:uiPriority w:val="99"/>
    <w:semiHidden/>
    <w:unhideWhenUsed/>
    <w:rsid w:val="00091BDF"/>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1BDF"/>
    <w:rPr>
      <w:rFonts w:ascii="Tahoma" w:hAnsi="Tahoma" w:cs="Tahoma"/>
      <w:sz w:val="16"/>
      <w:szCs w:val="16"/>
    </w:rPr>
  </w:style>
  <w:style w:type="paragraph" w:styleId="TDC3">
    <w:name w:val="toc 3"/>
    <w:basedOn w:val="Normal"/>
    <w:next w:val="Normal"/>
    <w:autoRedefine/>
    <w:uiPriority w:val="39"/>
    <w:unhideWhenUsed/>
    <w:rsid w:val="00091BDF"/>
    <w:pPr>
      <w:tabs>
        <w:tab w:val="left" w:pos="709"/>
        <w:tab w:val="right" w:leader="dot" w:pos="9061"/>
      </w:tabs>
      <w:ind w:left="709" w:hanging="709"/>
    </w:pPr>
    <w:rPr>
      <w:i/>
    </w:rPr>
  </w:style>
  <w:style w:type="paragraph" w:styleId="TDC1">
    <w:name w:val="toc 1"/>
    <w:basedOn w:val="Normal"/>
    <w:next w:val="Normal"/>
    <w:autoRedefine/>
    <w:uiPriority w:val="39"/>
    <w:unhideWhenUsed/>
    <w:rsid w:val="00091BDF"/>
    <w:pPr>
      <w:tabs>
        <w:tab w:val="left" w:pos="709"/>
        <w:tab w:val="right" w:leader="dot" w:pos="9061"/>
      </w:tabs>
      <w:ind w:left="709" w:hanging="709"/>
    </w:pPr>
    <w:rPr>
      <w:b/>
      <w:caps/>
    </w:rPr>
  </w:style>
  <w:style w:type="paragraph" w:styleId="TDC2">
    <w:name w:val="toc 2"/>
    <w:basedOn w:val="Normal"/>
    <w:next w:val="Normal"/>
    <w:autoRedefine/>
    <w:uiPriority w:val="39"/>
    <w:unhideWhenUsed/>
    <w:rsid w:val="00091BDF"/>
    <w:pPr>
      <w:tabs>
        <w:tab w:val="left" w:pos="709"/>
        <w:tab w:val="right" w:leader="dot" w:pos="9061"/>
      </w:tabs>
      <w:ind w:left="709" w:hanging="709"/>
    </w:pPr>
  </w:style>
  <w:style w:type="character" w:styleId="Hipervnculo">
    <w:name w:val="Hyperlink"/>
    <w:basedOn w:val="Fuentedeprrafopredeter"/>
    <w:uiPriority w:val="99"/>
    <w:unhideWhenUsed/>
    <w:rsid w:val="00091BDF"/>
    <w:rPr>
      <w:color w:val="318FFF" w:themeColor="hyperlink"/>
      <w:u w:val="single"/>
    </w:rPr>
  </w:style>
  <w:style w:type="character" w:customStyle="1" w:styleId="Ttulo7Car">
    <w:name w:val="Título 7 Car"/>
    <w:basedOn w:val="Fuentedeprrafopredeter"/>
    <w:link w:val="Ttulo7"/>
    <w:uiPriority w:val="7"/>
    <w:semiHidden/>
    <w:rsid w:val="00091BDF"/>
    <w:rPr>
      <w:rFonts w:asciiTheme="majorHAnsi" w:eastAsiaTheme="majorEastAsia" w:hAnsiTheme="majorHAnsi" w:cstheme="majorBidi"/>
      <w:i/>
      <w:iCs/>
      <w:color w:val="404040" w:themeColor="text1" w:themeTint="BF"/>
      <w:szCs w:val="22"/>
    </w:rPr>
  </w:style>
  <w:style w:type="numbering" w:customStyle="1" w:styleId="ListaUM3">
    <w:name w:val="Lista UM 3"/>
    <w:uiPriority w:val="99"/>
    <w:rsid w:val="00091BDF"/>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_Uria">
  <a:themeElements>
    <a:clrScheme name="_Uria">
      <a:dk1>
        <a:sysClr val="windowText" lastClr="000000"/>
      </a:dk1>
      <a:lt1>
        <a:sysClr val="window" lastClr="FFFFFF"/>
      </a:lt1>
      <a:dk2>
        <a:srgbClr val="002D62"/>
      </a:dk2>
      <a:lt2>
        <a:srgbClr val="C0C0C0"/>
      </a:lt2>
      <a:accent1>
        <a:srgbClr val="0079CC"/>
      </a:accent1>
      <a:accent2>
        <a:srgbClr val="E5B53A"/>
      </a:accent2>
      <a:accent3>
        <a:srgbClr val="8E7C6C"/>
      </a:accent3>
      <a:accent4>
        <a:srgbClr val="97C7FF"/>
      </a:accent4>
      <a:accent5>
        <a:srgbClr val="564106"/>
      </a:accent5>
      <a:accent6>
        <a:srgbClr val="6C3FE9"/>
      </a:accent6>
      <a:hlink>
        <a:srgbClr val="318FFF"/>
      </a:hlink>
      <a:folHlink>
        <a:srgbClr val="C237CD"/>
      </a:folHlink>
    </a:clrScheme>
    <a:fontScheme name="Uri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B7E2F-B2D7-478F-B9B7-BE6DEE33D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1811</Words>
  <Characters>9963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2016-03-16T17:09:00Z</dcterms:created>
  <dcterms:modified xsi:type="dcterms:W3CDTF">2016-04-22T09:50:00Z</dcterms:modified>
</cp:coreProperties>
</file>